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color w:val="FF0000"/>
          <w:sz w:val="28"/>
          <w:szCs w:val="28"/>
        </w:rPr>
      </w:pP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公示信息</w:t>
      </w:r>
    </w:p>
    <w:p>
      <w:pPr>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成果名称：有限理性情境下项目群多主体冲突的复杂网络生成与博弈研究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完成单位：西北工业大学</w:t>
      </w:r>
    </w:p>
    <w:p>
      <w:pPr>
        <w:ind w:left="1280" w:hanging="1280" w:hangingChars="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完成人：郭鹏，胡骏翡，赵静，张丁宁，王晓楠，王鼎，侯英杰，郭宁，刘启雷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现工作单位：西安邮电大学</w:t>
      </w:r>
      <w:r>
        <w:rPr>
          <w:rFonts w:hint="eastAsia" w:ascii="仿宋_GB2312" w:hAnsi="仿宋_GB2312" w:eastAsia="仿宋_GB2312" w:cs="仿宋_GB2312"/>
          <w:sz w:val="32"/>
          <w:szCs w:val="32"/>
          <w:lang w:eastAsia="zh-CN"/>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成果简介：在分散化决策模式下，复杂项目、项目群管理系</w:t>
      </w:r>
      <w:bookmarkStart w:id="0" w:name="_GoBack"/>
      <w:bookmarkEnd w:id="0"/>
      <w:r>
        <w:rPr>
          <w:rFonts w:hint="eastAsia" w:ascii="仿宋_GB2312" w:hAnsi="仿宋_GB2312" w:eastAsia="仿宋_GB2312" w:cs="仿宋_GB2312"/>
          <w:sz w:val="32"/>
          <w:szCs w:val="32"/>
        </w:rPr>
        <w:t>统的多任务、多主体、多目标特征往往导致非完全共同利益群体的双重边界化困境。聚焦于项目管理系统内多主体间竞合状态及其演化规律，综合运用复杂系统及其网络建模技术与博弈方法，重点探讨了多决策节点系统冲突的产生机理、表征与分类框架、网络结构生成与演化博弈等核心问题。从复杂项目、项目群内在结构依赖、合作驱动机制入手，提取反映合作决策行为的关键属性信息，并对面向结构依赖的合作决策网络鲁棒性进行评估。进而以复杂项目多决策节点集成环境为基础，构建了项目决策复杂网络模型，并以项目间任务及其关联性为突破点对这一复杂决策网络脆弱性及其级联失效特性进行定量化分析。在此基础上，分别结合信息异构、柔性认知和偏好差异等特定管理情境，提出了面向多源信息不确定性和认知有限性的复杂项目柔性决策方法、偏好差异下的组织间项目合作决策行为网络博弈模型，以及重点考虑风险偏好差异、公平偏好差异的多项目决策模型、收益分配委托代理模型等。此外，从理论和管理实践相结合角度进行研究深化和拓展，结合研发项目合作、供应链项目合作、区域创新合作等典型的复杂项目、项目群多主体决策管理背景，探讨了跨组织合作过程中的不确定性因素及其结构化评价体系、复杂研发项目生态网络特征及其协同演进机制、面向多源信息异构和柔性决策规则的研发合作管理框架及其关键技术等问题。</w:t>
      </w:r>
    </w:p>
    <w:p>
      <w:pPr>
        <w:pStyle w:val="2"/>
        <w:spacing w:line="390" w:lineRule="exact"/>
        <w:ind w:firstLine="0" w:firstLineChars="0"/>
        <w:jc w:val="center"/>
        <w:rPr>
          <w:rFonts w:hAnsi="仿宋_GB2312" w:eastAsia="仿宋_GB2312" w:cs="仿宋_GB2312"/>
          <w:sz w:val="32"/>
          <w:szCs w:val="32"/>
        </w:rPr>
      </w:pPr>
    </w:p>
    <w:p>
      <w:pPr>
        <w:pStyle w:val="2"/>
        <w:spacing w:line="390" w:lineRule="exact"/>
        <w:ind w:firstLine="0" w:firstLineChars="0"/>
        <w:jc w:val="center"/>
        <w:rPr>
          <w:rFonts w:ascii="Times New Roman"/>
          <w:b/>
          <w:sz w:val="28"/>
        </w:rPr>
      </w:pPr>
      <w:r>
        <w:rPr>
          <w:rFonts w:ascii="Times New Roman"/>
          <w:b/>
          <w:sz w:val="28"/>
        </w:rPr>
        <w:t>完成人合作关系情况汇总表</w:t>
      </w:r>
    </w:p>
    <w:p>
      <w:pPr>
        <w:pStyle w:val="2"/>
        <w:spacing w:line="390" w:lineRule="exact"/>
        <w:ind w:firstLine="0" w:firstLineChars="0"/>
        <w:jc w:val="center"/>
        <w:rPr>
          <w:rFonts w:ascii="Times New Roman"/>
          <w:b/>
          <w:sz w:val="28"/>
        </w:rPr>
      </w:pPr>
    </w:p>
    <w:tbl>
      <w:tblPr>
        <w:tblStyle w:val="5"/>
        <w:tblW w:w="894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43"/>
        <w:gridCol w:w="1134"/>
        <w:gridCol w:w="1984"/>
        <w:gridCol w:w="709"/>
        <w:gridCol w:w="2420"/>
        <w:gridCol w:w="1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widowControl/>
              <w:jc w:val="center"/>
              <w:rPr>
                <w:kern w:val="0"/>
                <w:szCs w:val="21"/>
              </w:rPr>
            </w:pPr>
            <w:r>
              <w:rPr>
                <w:kern w:val="0"/>
                <w:szCs w:val="21"/>
              </w:rPr>
              <w:t>序号</w:t>
            </w:r>
          </w:p>
        </w:tc>
        <w:tc>
          <w:tcPr>
            <w:tcW w:w="1134" w:type="dxa"/>
            <w:vAlign w:val="center"/>
          </w:tcPr>
          <w:p>
            <w:pPr>
              <w:widowControl/>
              <w:jc w:val="center"/>
              <w:rPr>
                <w:kern w:val="0"/>
                <w:szCs w:val="21"/>
              </w:rPr>
            </w:pPr>
            <w:r>
              <w:rPr>
                <w:kern w:val="0"/>
                <w:szCs w:val="21"/>
              </w:rPr>
              <w:t>合作方式</w:t>
            </w:r>
          </w:p>
        </w:tc>
        <w:tc>
          <w:tcPr>
            <w:tcW w:w="1984" w:type="dxa"/>
            <w:vAlign w:val="center"/>
          </w:tcPr>
          <w:p>
            <w:pPr>
              <w:widowControl/>
              <w:jc w:val="center"/>
              <w:rPr>
                <w:kern w:val="0"/>
                <w:szCs w:val="21"/>
              </w:rPr>
            </w:pPr>
            <w:r>
              <w:rPr>
                <w:kern w:val="0"/>
                <w:szCs w:val="21"/>
              </w:rPr>
              <w:t>合作</w:t>
            </w:r>
            <w:r>
              <w:rPr>
                <w:rFonts w:hint="eastAsia"/>
                <w:kern w:val="0"/>
                <w:szCs w:val="21"/>
              </w:rPr>
              <w:t>关系人</w:t>
            </w:r>
          </w:p>
          <w:p>
            <w:pPr>
              <w:widowControl/>
              <w:jc w:val="center"/>
              <w:rPr>
                <w:kern w:val="0"/>
                <w:szCs w:val="21"/>
              </w:rPr>
            </w:pPr>
            <w:r>
              <w:rPr>
                <w:rFonts w:hint="eastAsia"/>
                <w:kern w:val="0"/>
                <w:szCs w:val="21"/>
              </w:rPr>
              <w:t>及</w:t>
            </w:r>
            <w:r>
              <w:rPr>
                <w:kern w:val="0"/>
                <w:szCs w:val="21"/>
              </w:rPr>
              <w:t>排名</w:t>
            </w:r>
          </w:p>
        </w:tc>
        <w:tc>
          <w:tcPr>
            <w:tcW w:w="709" w:type="dxa"/>
            <w:vAlign w:val="center"/>
          </w:tcPr>
          <w:p>
            <w:pPr>
              <w:widowControl/>
              <w:jc w:val="center"/>
              <w:rPr>
                <w:kern w:val="0"/>
                <w:szCs w:val="21"/>
              </w:rPr>
            </w:pPr>
            <w:r>
              <w:rPr>
                <w:kern w:val="0"/>
                <w:szCs w:val="21"/>
              </w:rPr>
              <w:t>合作时间</w:t>
            </w:r>
          </w:p>
        </w:tc>
        <w:tc>
          <w:tcPr>
            <w:tcW w:w="2420" w:type="dxa"/>
            <w:vAlign w:val="center"/>
          </w:tcPr>
          <w:p>
            <w:pPr>
              <w:widowControl/>
              <w:jc w:val="center"/>
              <w:rPr>
                <w:kern w:val="0"/>
                <w:szCs w:val="21"/>
              </w:rPr>
            </w:pPr>
            <w:r>
              <w:rPr>
                <w:kern w:val="0"/>
                <w:szCs w:val="21"/>
              </w:rPr>
              <w:t>合作成果</w:t>
            </w:r>
          </w:p>
        </w:tc>
        <w:tc>
          <w:tcPr>
            <w:tcW w:w="1956" w:type="dxa"/>
            <w:vAlign w:val="center"/>
          </w:tcPr>
          <w:p>
            <w:pPr>
              <w:widowControl/>
              <w:jc w:val="center"/>
              <w:rPr>
                <w:kern w:val="0"/>
                <w:szCs w:val="21"/>
              </w:rPr>
            </w:pPr>
            <w:r>
              <w:rPr>
                <w:kern w:val="0"/>
                <w:szCs w:val="21"/>
              </w:rPr>
              <w:t>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szCs w:val="21"/>
              </w:rPr>
              <w:t>1</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郭鹏、张丁宁、赵静；排名分别为2、1、</w:t>
            </w:r>
            <w:r>
              <w:rPr>
                <w:szCs w:val="21"/>
              </w:rPr>
              <w:t>3</w:t>
            </w:r>
          </w:p>
        </w:tc>
        <w:tc>
          <w:tcPr>
            <w:tcW w:w="709" w:type="dxa"/>
            <w:vAlign w:val="center"/>
          </w:tcPr>
          <w:p>
            <w:pPr>
              <w:spacing w:before="156" w:beforeLines="50" w:after="156" w:afterLines="50"/>
              <w:rPr>
                <w:szCs w:val="21"/>
              </w:rPr>
            </w:pPr>
            <w:r>
              <w:rPr>
                <w:rFonts w:hint="eastAsia"/>
                <w:szCs w:val="21"/>
              </w:rPr>
              <w:t>2</w:t>
            </w:r>
            <w:r>
              <w:rPr>
                <w:szCs w:val="21"/>
              </w:rPr>
              <w:t>022</w:t>
            </w:r>
          </w:p>
        </w:tc>
        <w:tc>
          <w:tcPr>
            <w:tcW w:w="2420" w:type="dxa"/>
            <w:vAlign w:val="center"/>
          </w:tcPr>
          <w:p>
            <w:pPr>
              <w:spacing w:before="156" w:beforeLines="50" w:after="156" w:afterLines="50"/>
              <w:jc w:val="center"/>
              <w:rPr>
                <w:rFonts w:ascii="Times New Roman" w:hAnsi="Times New Roman" w:cs="Times New Roman"/>
                <w:szCs w:val="21"/>
              </w:rPr>
            </w:pPr>
            <w:r>
              <w:rPr>
                <w:rFonts w:ascii="Times New Roman" w:hAnsi="Times New Roman" w:cs="Times New Roman"/>
                <w:szCs w:val="21"/>
              </w:rPr>
              <w:t>The motives system for developing project-based inter-organizational cooperation</w:t>
            </w:r>
          </w:p>
        </w:tc>
        <w:tc>
          <w:tcPr>
            <w:tcW w:w="1956" w:type="dxa"/>
          </w:tcPr>
          <w:p>
            <w:pPr>
              <w:spacing w:before="156" w:beforeLines="50" w:after="156" w:afterLines="50"/>
              <w:rPr>
                <w:szCs w:val="21"/>
              </w:rPr>
            </w:pPr>
            <w:r>
              <w:rPr>
                <w:rFonts w:hint="eastAsia"/>
                <w:szCs w:val="21"/>
              </w:rPr>
              <w:t>论文</w:t>
            </w:r>
            <w:r>
              <w:rPr>
                <w:szCs w:val="21"/>
              </w:rPr>
              <w:t>1</w:t>
            </w:r>
            <w:r>
              <w:rPr>
                <w:rFonts w:hint="eastAsia"/>
                <w:szCs w:val="21"/>
              </w:rPr>
              <w:t>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szCs w:val="21"/>
              </w:rPr>
              <w:t>2</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郭鹏、胡骏翡；排名分别为2、</w:t>
            </w:r>
            <w:r>
              <w:rPr>
                <w:szCs w:val="21"/>
              </w:rPr>
              <w:t>1</w:t>
            </w:r>
          </w:p>
        </w:tc>
        <w:tc>
          <w:tcPr>
            <w:tcW w:w="709" w:type="dxa"/>
            <w:vAlign w:val="center"/>
          </w:tcPr>
          <w:p>
            <w:pPr>
              <w:spacing w:before="156" w:beforeLines="50" w:after="156" w:afterLines="50"/>
              <w:rPr>
                <w:szCs w:val="21"/>
              </w:rPr>
            </w:pPr>
            <w:r>
              <w:rPr>
                <w:rFonts w:hint="eastAsia"/>
                <w:szCs w:val="21"/>
              </w:rPr>
              <w:t>2</w:t>
            </w:r>
            <w:r>
              <w:rPr>
                <w:szCs w:val="21"/>
              </w:rPr>
              <w:t>020</w:t>
            </w:r>
          </w:p>
        </w:tc>
        <w:tc>
          <w:tcPr>
            <w:tcW w:w="2420" w:type="dxa"/>
            <w:vAlign w:val="center"/>
          </w:tcPr>
          <w:p>
            <w:pPr>
              <w:spacing w:before="156" w:beforeLines="50" w:after="156" w:afterLines="50"/>
              <w:jc w:val="center"/>
              <w:rPr>
                <w:rFonts w:ascii="Times New Roman" w:hAnsi="Times New Roman" w:cs="Times New Roman"/>
                <w:szCs w:val="21"/>
              </w:rPr>
            </w:pPr>
            <w:r>
              <w:rPr>
                <w:rFonts w:ascii="Times New Roman" w:hAnsi="Times New Roman" w:cs="Times New Roman"/>
                <w:szCs w:val="21"/>
              </w:rPr>
              <w:t>Generating decision rules for flexible capacity expansion</w:t>
            </w:r>
          </w:p>
          <w:p>
            <w:pPr>
              <w:spacing w:before="156" w:beforeLines="50" w:after="156" w:afterLines="50"/>
              <w:jc w:val="center"/>
              <w:rPr>
                <w:szCs w:val="21"/>
              </w:rPr>
            </w:pPr>
            <w:r>
              <w:rPr>
                <w:rFonts w:ascii="Times New Roman" w:hAnsi="Times New Roman" w:cs="Times New Roman"/>
                <w:szCs w:val="21"/>
              </w:rPr>
              <w:t>problem through gene expression programming</w:t>
            </w:r>
          </w:p>
        </w:tc>
        <w:tc>
          <w:tcPr>
            <w:tcW w:w="1956" w:type="dxa"/>
          </w:tcPr>
          <w:p>
            <w:pPr>
              <w:spacing w:before="156" w:beforeLines="50" w:after="156" w:afterLines="50"/>
              <w:rPr>
                <w:szCs w:val="21"/>
              </w:rPr>
            </w:pPr>
            <w:r>
              <w:rPr>
                <w:rFonts w:hint="eastAsia"/>
                <w:szCs w:val="21"/>
              </w:rPr>
              <w:t>论文2著作证明材料.pdf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szCs w:val="21"/>
              </w:rPr>
              <w:t>3</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郭鹏、郭宁、赵静；排名分别为2、</w:t>
            </w:r>
            <w:r>
              <w:rPr>
                <w:szCs w:val="21"/>
              </w:rPr>
              <w:t>1</w:t>
            </w:r>
            <w:r>
              <w:rPr>
                <w:rFonts w:hint="eastAsia"/>
                <w:szCs w:val="21"/>
              </w:rPr>
              <w:t>、4</w:t>
            </w:r>
          </w:p>
        </w:tc>
        <w:tc>
          <w:tcPr>
            <w:tcW w:w="709" w:type="dxa"/>
            <w:vAlign w:val="center"/>
          </w:tcPr>
          <w:p>
            <w:pPr>
              <w:spacing w:before="156" w:beforeLines="50" w:after="156" w:afterLines="50"/>
              <w:rPr>
                <w:szCs w:val="21"/>
              </w:rPr>
            </w:pPr>
            <w:r>
              <w:rPr>
                <w:rFonts w:hint="eastAsia"/>
                <w:szCs w:val="21"/>
              </w:rPr>
              <w:t>2</w:t>
            </w:r>
            <w:r>
              <w:rPr>
                <w:szCs w:val="21"/>
              </w:rPr>
              <w:t>019</w:t>
            </w:r>
          </w:p>
        </w:tc>
        <w:tc>
          <w:tcPr>
            <w:tcW w:w="2420" w:type="dxa"/>
            <w:vAlign w:val="center"/>
          </w:tcPr>
          <w:p>
            <w:pPr>
              <w:spacing w:before="156" w:beforeLines="50" w:after="156" w:afterLines="50"/>
              <w:jc w:val="center"/>
              <w:rPr>
                <w:rFonts w:ascii="Times New Roman" w:hAnsi="Times New Roman" w:cs="Times New Roman"/>
                <w:szCs w:val="21"/>
              </w:rPr>
            </w:pPr>
            <w:r>
              <w:rPr>
                <w:rFonts w:ascii="Times New Roman" w:hAnsi="Times New Roman" w:cs="Times New Roman"/>
                <w:szCs w:val="21"/>
              </w:rPr>
              <w:t>Modeling and analysis of cascading failures in projects: A complex network approach</w:t>
            </w:r>
          </w:p>
        </w:tc>
        <w:tc>
          <w:tcPr>
            <w:tcW w:w="1956" w:type="dxa"/>
          </w:tcPr>
          <w:p>
            <w:pPr>
              <w:spacing w:before="156" w:beforeLines="50" w:after="156" w:afterLines="50"/>
              <w:rPr>
                <w:szCs w:val="21"/>
              </w:rPr>
            </w:pPr>
            <w:r>
              <w:rPr>
                <w:rFonts w:hint="eastAsia"/>
                <w:szCs w:val="21"/>
              </w:rPr>
              <w:t>论文</w:t>
            </w:r>
            <w:r>
              <w:rPr>
                <w:szCs w:val="21"/>
              </w:rPr>
              <w:t>3</w:t>
            </w:r>
            <w:r>
              <w:rPr>
                <w:rFonts w:hint="eastAsia"/>
                <w:szCs w:val="21"/>
              </w:rPr>
              <w:t>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szCs w:val="21"/>
              </w:rPr>
              <w:t>4</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郭鹏、侯英杰；排名分别为2、</w:t>
            </w:r>
            <w:r>
              <w:rPr>
                <w:szCs w:val="21"/>
              </w:rPr>
              <w:t>1</w:t>
            </w:r>
          </w:p>
        </w:tc>
        <w:tc>
          <w:tcPr>
            <w:tcW w:w="709" w:type="dxa"/>
            <w:vAlign w:val="center"/>
          </w:tcPr>
          <w:p>
            <w:pPr>
              <w:spacing w:before="156" w:beforeLines="50" w:after="156" w:afterLines="50"/>
              <w:rPr>
                <w:szCs w:val="21"/>
              </w:rPr>
            </w:pPr>
            <w:r>
              <w:rPr>
                <w:rFonts w:hint="eastAsia"/>
                <w:szCs w:val="21"/>
              </w:rPr>
              <w:t>2</w:t>
            </w:r>
            <w:r>
              <w:rPr>
                <w:szCs w:val="21"/>
              </w:rPr>
              <w:t>023</w:t>
            </w:r>
          </w:p>
        </w:tc>
        <w:tc>
          <w:tcPr>
            <w:tcW w:w="2420" w:type="dxa"/>
            <w:vAlign w:val="center"/>
          </w:tcPr>
          <w:p>
            <w:pPr>
              <w:spacing w:before="156" w:beforeLines="50" w:after="156" w:afterLines="50"/>
              <w:jc w:val="center"/>
              <w:rPr>
                <w:szCs w:val="21"/>
              </w:rPr>
            </w:pPr>
            <w:r>
              <w:rPr>
                <w:rFonts w:ascii="Times New Roman" w:hAnsi="Times New Roman" w:cs="Times New Roman"/>
                <w:szCs w:val="21"/>
              </w:rPr>
              <w:t>Optimal eco-label choice strategy for environmentally responsible corporations considering government regulations</w:t>
            </w:r>
          </w:p>
        </w:tc>
        <w:tc>
          <w:tcPr>
            <w:tcW w:w="1956" w:type="dxa"/>
          </w:tcPr>
          <w:p>
            <w:pPr>
              <w:spacing w:before="156" w:beforeLines="50" w:after="156" w:afterLines="50"/>
              <w:rPr>
                <w:szCs w:val="21"/>
              </w:rPr>
            </w:pPr>
            <w:r>
              <w:rPr>
                <w:rFonts w:hint="eastAsia"/>
                <w:szCs w:val="21"/>
              </w:rPr>
              <w:t>论文</w:t>
            </w:r>
            <w:r>
              <w:rPr>
                <w:szCs w:val="21"/>
              </w:rPr>
              <w:t>4</w:t>
            </w:r>
            <w:r>
              <w:rPr>
                <w:rFonts w:hint="eastAsia"/>
                <w:szCs w:val="21"/>
              </w:rPr>
              <w:t>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szCs w:val="21"/>
              </w:rPr>
              <w:t>5</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郭鹏、王晓楠、郭宁；排名分别为2、</w:t>
            </w:r>
            <w:r>
              <w:rPr>
                <w:szCs w:val="21"/>
              </w:rPr>
              <w:t>1</w:t>
            </w:r>
            <w:r>
              <w:rPr>
                <w:rFonts w:hint="eastAsia"/>
                <w:szCs w:val="21"/>
              </w:rPr>
              <w:t>、3</w:t>
            </w:r>
          </w:p>
        </w:tc>
        <w:tc>
          <w:tcPr>
            <w:tcW w:w="709" w:type="dxa"/>
            <w:vAlign w:val="center"/>
          </w:tcPr>
          <w:p>
            <w:pPr>
              <w:spacing w:before="156" w:beforeLines="50" w:after="156" w:afterLines="50"/>
              <w:rPr>
                <w:szCs w:val="21"/>
              </w:rPr>
            </w:pPr>
            <w:r>
              <w:rPr>
                <w:rFonts w:hint="eastAsia"/>
                <w:szCs w:val="21"/>
              </w:rPr>
              <w:t>2</w:t>
            </w:r>
            <w:r>
              <w:rPr>
                <w:szCs w:val="21"/>
              </w:rPr>
              <w:t>023</w:t>
            </w:r>
          </w:p>
        </w:tc>
        <w:tc>
          <w:tcPr>
            <w:tcW w:w="2420" w:type="dxa"/>
            <w:vAlign w:val="center"/>
          </w:tcPr>
          <w:p>
            <w:pPr>
              <w:spacing w:before="156" w:beforeLines="50" w:after="156" w:afterLines="50"/>
              <w:jc w:val="center"/>
              <w:rPr>
                <w:szCs w:val="21"/>
              </w:rPr>
            </w:pPr>
            <w:r>
              <w:rPr>
                <w:rFonts w:hint="eastAsia"/>
                <w:szCs w:val="21"/>
              </w:rPr>
              <w:t>补贴与风险视角下网络间迁移机制研究</w:t>
            </w:r>
          </w:p>
        </w:tc>
        <w:tc>
          <w:tcPr>
            <w:tcW w:w="1956" w:type="dxa"/>
          </w:tcPr>
          <w:p>
            <w:pPr>
              <w:spacing w:before="156" w:beforeLines="50" w:after="156" w:afterLines="50"/>
              <w:rPr>
                <w:szCs w:val="21"/>
              </w:rPr>
            </w:pPr>
            <w:r>
              <w:rPr>
                <w:rFonts w:hint="eastAsia"/>
                <w:szCs w:val="21"/>
              </w:rPr>
              <w:t>论文</w:t>
            </w:r>
            <w:r>
              <w:rPr>
                <w:szCs w:val="21"/>
              </w:rPr>
              <w:t>5</w:t>
            </w:r>
            <w:r>
              <w:rPr>
                <w:rFonts w:hint="eastAsia"/>
                <w:szCs w:val="21"/>
              </w:rPr>
              <w:t>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szCs w:val="21"/>
              </w:rPr>
              <w:t>6</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郭鹏、刘启雷；排名分别为2、</w:t>
            </w:r>
            <w:r>
              <w:rPr>
                <w:szCs w:val="21"/>
              </w:rPr>
              <w:t>1</w:t>
            </w:r>
          </w:p>
        </w:tc>
        <w:tc>
          <w:tcPr>
            <w:tcW w:w="709" w:type="dxa"/>
            <w:vAlign w:val="center"/>
          </w:tcPr>
          <w:p>
            <w:pPr>
              <w:spacing w:before="156" w:beforeLines="50" w:after="156" w:afterLines="50"/>
              <w:rPr>
                <w:szCs w:val="21"/>
              </w:rPr>
            </w:pPr>
            <w:r>
              <w:rPr>
                <w:rFonts w:hint="eastAsia"/>
                <w:szCs w:val="21"/>
              </w:rPr>
              <w:t>2</w:t>
            </w:r>
            <w:r>
              <w:rPr>
                <w:szCs w:val="21"/>
              </w:rPr>
              <w:t>018</w:t>
            </w:r>
          </w:p>
        </w:tc>
        <w:tc>
          <w:tcPr>
            <w:tcW w:w="2420" w:type="dxa"/>
            <w:vAlign w:val="center"/>
          </w:tcPr>
          <w:p>
            <w:pPr>
              <w:spacing w:before="156" w:beforeLines="50" w:after="156" w:afterLines="50"/>
              <w:jc w:val="center"/>
              <w:rPr>
                <w:szCs w:val="21"/>
              </w:rPr>
            </w:pPr>
            <w:r>
              <w:rPr>
                <w:rFonts w:hint="eastAsia"/>
                <w:szCs w:val="21"/>
              </w:rPr>
              <w:t>在华外资研发与区域自主创新的生态共演研究</w:t>
            </w:r>
          </w:p>
        </w:tc>
        <w:tc>
          <w:tcPr>
            <w:tcW w:w="1956" w:type="dxa"/>
          </w:tcPr>
          <w:p>
            <w:pPr>
              <w:spacing w:before="156" w:beforeLines="50" w:after="156" w:afterLines="50"/>
              <w:rPr>
                <w:szCs w:val="21"/>
              </w:rPr>
            </w:pPr>
            <w:r>
              <w:rPr>
                <w:rFonts w:hint="eastAsia"/>
                <w:szCs w:val="21"/>
              </w:rPr>
              <w:t>论文</w:t>
            </w:r>
            <w:r>
              <w:rPr>
                <w:szCs w:val="21"/>
              </w:rPr>
              <w:t>6</w:t>
            </w:r>
            <w:r>
              <w:rPr>
                <w:rFonts w:hint="eastAsia"/>
                <w:szCs w:val="21"/>
              </w:rPr>
              <w:t>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rFonts w:hint="eastAsia"/>
                <w:szCs w:val="21"/>
              </w:rPr>
              <w:t>7</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郭鹏、张丁宁；排名分别为2、</w:t>
            </w:r>
            <w:r>
              <w:rPr>
                <w:szCs w:val="21"/>
              </w:rPr>
              <w:t>1</w:t>
            </w:r>
          </w:p>
        </w:tc>
        <w:tc>
          <w:tcPr>
            <w:tcW w:w="709" w:type="dxa"/>
            <w:vAlign w:val="center"/>
          </w:tcPr>
          <w:p>
            <w:pPr>
              <w:spacing w:before="156" w:beforeLines="50" w:after="156" w:afterLines="50"/>
              <w:rPr>
                <w:szCs w:val="21"/>
              </w:rPr>
            </w:pPr>
            <w:r>
              <w:rPr>
                <w:szCs w:val="21"/>
              </w:rPr>
              <w:t>2023</w:t>
            </w:r>
          </w:p>
        </w:tc>
        <w:tc>
          <w:tcPr>
            <w:tcW w:w="2420" w:type="dxa"/>
            <w:vAlign w:val="center"/>
          </w:tcPr>
          <w:p>
            <w:pPr>
              <w:spacing w:before="156" w:beforeLines="50" w:after="156" w:afterLines="50"/>
              <w:jc w:val="center"/>
              <w:rPr>
                <w:szCs w:val="21"/>
              </w:rPr>
            </w:pPr>
            <w:r>
              <w:rPr>
                <w:rFonts w:hint="eastAsia"/>
                <w:szCs w:val="21"/>
              </w:rPr>
              <w:t>防疫投机、长效监管与从众偏好——演化博弈建模与分析</w:t>
            </w:r>
          </w:p>
        </w:tc>
        <w:tc>
          <w:tcPr>
            <w:tcW w:w="1956" w:type="dxa"/>
          </w:tcPr>
          <w:p>
            <w:pPr>
              <w:spacing w:before="156" w:beforeLines="50" w:after="156" w:afterLines="50"/>
              <w:rPr>
                <w:szCs w:val="21"/>
              </w:rPr>
            </w:pPr>
            <w:r>
              <w:rPr>
                <w:rFonts w:hint="eastAsia"/>
                <w:szCs w:val="21"/>
              </w:rPr>
              <w:t>论文</w:t>
            </w:r>
            <w:r>
              <w:rPr>
                <w:szCs w:val="21"/>
              </w:rPr>
              <w:t>7</w:t>
            </w:r>
            <w:r>
              <w:rPr>
                <w:rFonts w:hint="eastAsia"/>
                <w:szCs w:val="21"/>
              </w:rPr>
              <w:t>著作证明材料.pdf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743" w:type="dxa"/>
            <w:vAlign w:val="center"/>
          </w:tcPr>
          <w:p>
            <w:pPr>
              <w:spacing w:before="156" w:beforeLines="50" w:after="156" w:afterLines="50"/>
              <w:jc w:val="center"/>
              <w:rPr>
                <w:szCs w:val="21"/>
              </w:rPr>
            </w:pPr>
            <w:r>
              <w:rPr>
                <w:rFonts w:hint="eastAsia"/>
                <w:szCs w:val="21"/>
              </w:rPr>
              <w:t>8</w:t>
            </w:r>
          </w:p>
        </w:tc>
        <w:tc>
          <w:tcPr>
            <w:tcW w:w="1134" w:type="dxa"/>
            <w:vAlign w:val="center"/>
          </w:tcPr>
          <w:p>
            <w:pPr>
              <w:spacing w:before="156" w:beforeLines="50" w:after="156" w:afterLines="50"/>
              <w:rPr>
                <w:szCs w:val="21"/>
              </w:rPr>
            </w:pPr>
            <w:r>
              <w:rPr>
                <w:rFonts w:hint="eastAsia"/>
                <w:szCs w:val="21"/>
              </w:rPr>
              <w:t>论文合著</w:t>
            </w:r>
          </w:p>
        </w:tc>
        <w:tc>
          <w:tcPr>
            <w:tcW w:w="1984" w:type="dxa"/>
            <w:vAlign w:val="center"/>
          </w:tcPr>
          <w:p>
            <w:pPr>
              <w:spacing w:before="156" w:beforeLines="50" w:after="156" w:afterLines="50"/>
              <w:rPr>
                <w:szCs w:val="21"/>
              </w:rPr>
            </w:pPr>
            <w:r>
              <w:rPr>
                <w:rFonts w:hint="eastAsia"/>
                <w:szCs w:val="21"/>
              </w:rPr>
              <w:t>郭鹏、王鼎、郭宁；排名分别为2、</w:t>
            </w:r>
            <w:r>
              <w:rPr>
                <w:szCs w:val="21"/>
              </w:rPr>
              <w:t>1</w:t>
            </w:r>
            <w:r>
              <w:rPr>
                <w:rFonts w:hint="eastAsia"/>
                <w:szCs w:val="21"/>
              </w:rPr>
              <w:t>、3</w:t>
            </w:r>
          </w:p>
        </w:tc>
        <w:tc>
          <w:tcPr>
            <w:tcW w:w="709" w:type="dxa"/>
            <w:vAlign w:val="center"/>
          </w:tcPr>
          <w:p>
            <w:pPr>
              <w:spacing w:before="156" w:beforeLines="50" w:after="156" w:afterLines="50"/>
              <w:rPr>
                <w:szCs w:val="21"/>
              </w:rPr>
            </w:pPr>
            <w:r>
              <w:rPr>
                <w:szCs w:val="21"/>
              </w:rPr>
              <w:t>2021</w:t>
            </w:r>
          </w:p>
        </w:tc>
        <w:tc>
          <w:tcPr>
            <w:tcW w:w="2420" w:type="dxa"/>
            <w:vAlign w:val="center"/>
          </w:tcPr>
          <w:p>
            <w:pPr>
              <w:spacing w:before="156" w:beforeLines="50" w:after="156" w:afterLines="50"/>
              <w:jc w:val="center"/>
              <w:rPr>
                <w:szCs w:val="21"/>
              </w:rPr>
            </w:pPr>
            <w:r>
              <w:rPr>
                <w:rFonts w:hint="eastAsia"/>
                <w:szCs w:val="21"/>
              </w:rPr>
              <w:t>公平偏好下考虑互补效应的项目投资收益分配研究</w:t>
            </w:r>
          </w:p>
        </w:tc>
        <w:tc>
          <w:tcPr>
            <w:tcW w:w="1956" w:type="dxa"/>
          </w:tcPr>
          <w:p>
            <w:pPr>
              <w:spacing w:before="156" w:beforeLines="50" w:after="156" w:afterLines="50"/>
              <w:rPr>
                <w:szCs w:val="21"/>
              </w:rPr>
            </w:pPr>
            <w:r>
              <w:rPr>
                <w:rFonts w:hint="eastAsia"/>
                <w:szCs w:val="21"/>
              </w:rPr>
              <w:t>论文</w:t>
            </w:r>
            <w:r>
              <w:rPr>
                <w:szCs w:val="21"/>
              </w:rPr>
              <w:t>8</w:t>
            </w:r>
            <w:r>
              <w:rPr>
                <w:rFonts w:hint="eastAsia"/>
                <w:szCs w:val="21"/>
              </w:rPr>
              <w:t>著作证明材料.pdf</w:t>
            </w: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GwNDOzNDS3tLA0MrZQ0lEKTi0uzszPAykwrgUAH8DSNiwAAAA="/>
    <w:docVar w:name="commondata" w:val="eyJoZGlkIjoiM2E3NjAwMmViZThkNjY3Njg1MjcwZDEyNzYzMWNhZjIifQ=="/>
  </w:docVars>
  <w:rsids>
    <w:rsidRoot w:val="001938A0"/>
    <w:rsid w:val="000A25AF"/>
    <w:rsid w:val="0016521F"/>
    <w:rsid w:val="001938A0"/>
    <w:rsid w:val="00205F09"/>
    <w:rsid w:val="00244852"/>
    <w:rsid w:val="00264021"/>
    <w:rsid w:val="002A16F7"/>
    <w:rsid w:val="002B6497"/>
    <w:rsid w:val="002F49E2"/>
    <w:rsid w:val="00301B88"/>
    <w:rsid w:val="00340656"/>
    <w:rsid w:val="00443228"/>
    <w:rsid w:val="0051682D"/>
    <w:rsid w:val="00543514"/>
    <w:rsid w:val="00546CEB"/>
    <w:rsid w:val="005743A1"/>
    <w:rsid w:val="00577D84"/>
    <w:rsid w:val="005B41C6"/>
    <w:rsid w:val="0067692D"/>
    <w:rsid w:val="006B32BA"/>
    <w:rsid w:val="006D58EF"/>
    <w:rsid w:val="0079420F"/>
    <w:rsid w:val="007C2DBA"/>
    <w:rsid w:val="007E1082"/>
    <w:rsid w:val="008277AA"/>
    <w:rsid w:val="008418C1"/>
    <w:rsid w:val="008E37CE"/>
    <w:rsid w:val="008E4282"/>
    <w:rsid w:val="0094635B"/>
    <w:rsid w:val="009569E9"/>
    <w:rsid w:val="009B1A5E"/>
    <w:rsid w:val="009E3728"/>
    <w:rsid w:val="00A174B0"/>
    <w:rsid w:val="00A4766D"/>
    <w:rsid w:val="00A56053"/>
    <w:rsid w:val="00A645BC"/>
    <w:rsid w:val="00AE3D4A"/>
    <w:rsid w:val="00B0063F"/>
    <w:rsid w:val="00B361E3"/>
    <w:rsid w:val="00B3635A"/>
    <w:rsid w:val="00B826C6"/>
    <w:rsid w:val="00B87738"/>
    <w:rsid w:val="00BF147F"/>
    <w:rsid w:val="00C02AA7"/>
    <w:rsid w:val="00C11CAE"/>
    <w:rsid w:val="00CC4838"/>
    <w:rsid w:val="00D330AD"/>
    <w:rsid w:val="00D70B90"/>
    <w:rsid w:val="00DB5747"/>
    <w:rsid w:val="00DC029F"/>
    <w:rsid w:val="00DE45CD"/>
    <w:rsid w:val="00DF2450"/>
    <w:rsid w:val="00DF5562"/>
    <w:rsid w:val="00E26559"/>
    <w:rsid w:val="00E324DC"/>
    <w:rsid w:val="00E612CC"/>
    <w:rsid w:val="00E8469F"/>
    <w:rsid w:val="00EA6E04"/>
    <w:rsid w:val="00F30891"/>
    <w:rsid w:val="00F318FA"/>
    <w:rsid w:val="00F54F37"/>
    <w:rsid w:val="00FB127A"/>
    <w:rsid w:val="01ED6C1C"/>
    <w:rsid w:val="069E46A0"/>
    <w:rsid w:val="26EC20B9"/>
    <w:rsid w:val="35352E7D"/>
    <w:rsid w:val="56A66F8E"/>
    <w:rsid w:val="58702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0"/>
    <w:autoRedefine/>
    <w:qFormat/>
    <w:uiPriority w:val="0"/>
    <w:pPr>
      <w:spacing w:line="360" w:lineRule="auto"/>
      <w:ind w:firstLine="480" w:firstLineChars="200"/>
    </w:pPr>
    <w:rPr>
      <w:rFonts w:ascii="仿宋_GB2312" w:hAnsi="Times New Roman" w:eastAsia="宋体" w:cs="Times New Roman"/>
      <w:sz w:val="24"/>
      <w:szCs w:val="24"/>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autoRedefine/>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纯文本 字符"/>
    <w:basedOn w:val="6"/>
    <w:link w:val="2"/>
    <w:autoRedefine/>
    <w:uiPriority w:val="0"/>
    <w:rPr>
      <w:rFonts w:ascii="仿宋_GB2312" w:hAnsi="Times New Roman" w:eastAsia="宋体" w:cs="Times New Roman"/>
      <w:sz w:val="24"/>
      <w:szCs w:val="24"/>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5</Pages>
  <Words>490</Words>
  <Characters>2799</Characters>
  <Lines>23</Lines>
  <Paragraphs>6</Paragraphs>
  <TotalTime>17</TotalTime>
  <ScaleCrop>false</ScaleCrop>
  <LinksUpToDate>false</LinksUpToDate>
  <CharactersWithSpaces>3283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2024-03-05T08:13:00Z</dcterms:created>
  <dc:creator>王彩红</dc:creator>
  <cp:lastModifiedBy>拦路虎</cp:lastModifiedBy>
  <dcterms:modified xsi:type="dcterms:W3CDTF">2024-03-07T12:58:18Z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3828C7862F274AE587D35EFC58DE41C0_13</vt:lpwstr>
  </property>
</Properties>
</file>