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4D76" w14:textId="77777777" w:rsidR="005B41C6" w:rsidRPr="005B41C6" w:rsidRDefault="005B41C6" w:rsidP="005B41C6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B41C6">
        <w:rPr>
          <w:rFonts w:ascii="仿宋_GB2312" w:eastAsia="仿宋_GB2312" w:hAnsi="仿宋_GB2312" w:cs="仿宋_GB2312" w:hint="eastAsia"/>
          <w:b/>
          <w:sz w:val="32"/>
          <w:szCs w:val="32"/>
        </w:rPr>
        <w:t>项目公示信息</w:t>
      </w:r>
    </w:p>
    <w:p w14:paraId="314F7D23" w14:textId="55865358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 w:rsidR="00DB5D0D">
        <w:rPr>
          <w:rFonts w:ascii="仿宋_GB2312" w:eastAsia="仿宋_GB2312" w:hAnsi="仿宋_GB2312" w:cs="仿宋_GB2312" w:hint="eastAsia"/>
          <w:sz w:val="32"/>
          <w:szCs w:val="32"/>
        </w:rPr>
        <w:t>面向快递服务的物流仓储管理理论及关键技术研究</w:t>
      </w:r>
      <w:r w:rsidR="00AE6F32">
        <w:rPr>
          <w:rFonts w:ascii="仿宋_GB2312" w:eastAsia="仿宋_GB2312" w:hAnsi="仿宋_GB2312" w:cs="仿宋_GB2312" w:hint="eastAsia"/>
          <w:sz w:val="32"/>
          <w:szCs w:val="32"/>
        </w:rPr>
        <w:t>与示范</w:t>
      </w:r>
    </w:p>
    <w:p w14:paraId="51807650" w14:textId="1938253B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完成单位：</w:t>
      </w:r>
      <w:r w:rsidR="00DB5D0D">
        <w:rPr>
          <w:rFonts w:ascii="仿宋_GB2312" w:eastAsia="仿宋_GB2312" w:hAnsi="仿宋_GB2312" w:cs="仿宋_GB2312" w:hint="eastAsia"/>
          <w:sz w:val="32"/>
          <w:szCs w:val="32"/>
        </w:rPr>
        <w:t>西安邮电大学</w:t>
      </w:r>
      <w:r w:rsidR="001D5636">
        <w:rPr>
          <w:rFonts w:ascii="仿宋_GB2312" w:eastAsia="仿宋_GB2312" w:hAnsi="仿宋_GB2312" w:cs="仿宋_GB2312" w:hint="eastAsia"/>
          <w:sz w:val="32"/>
          <w:szCs w:val="32"/>
        </w:rPr>
        <w:t>、西安航天自动化股份有限公司</w:t>
      </w:r>
    </w:p>
    <w:p w14:paraId="4847C9A8" w14:textId="59A426F9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完成人：</w:t>
      </w:r>
      <w:r w:rsidR="00DB5D0D">
        <w:rPr>
          <w:rFonts w:ascii="仿宋_GB2312" w:eastAsia="仿宋_GB2312" w:hAnsi="仿宋_GB2312" w:cs="仿宋_GB2312" w:hint="eastAsia"/>
          <w:sz w:val="32"/>
          <w:szCs w:val="32"/>
        </w:rPr>
        <w:t>李鹏飞、毋建宏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42948" w:rsidRPr="006E4E38">
        <w:rPr>
          <w:rFonts w:ascii="仿宋_GB2312" w:eastAsia="仿宋_GB2312" w:hAnsi="仿宋_GB2312" w:cs="仿宋_GB2312" w:hint="eastAsia"/>
          <w:sz w:val="32"/>
          <w:szCs w:val="32"/>
        </w:rPr>
        <w:t>李永飞、张建奇、张建锋、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杨小宝、吴小峰</w:t>
      </w:r>
      <w:r w:rsidR="00342948">
        <w:rPr>
          <w:rFonts w:ascii="仿宋_GB2312" w:eastAsia="仿宋_GB2312" w:hAnsi="仿宋_GB2312" w:cs="仿宋_GB2312" w:hint="eastAsia"/>
          <w:sz w:val="32"/>
          <w:szCs w:val="32"/>
        </w:rPr>
        <w:t>、马震、冉茂然</w:t>
      </w:r>
      <w:r w:rsidR="00AE6F32">
        <w:rPr>
          <w:rFonts w:ascii="仿宋_GB2312" w:eastAsia="仿宋_GB2312" w:hAnsi="仿宋_GB2312" w:cs="仿宋_GB2312" w:hint="eastAsia"/>
          <w:sz w:val="32"/>
          <w:szCs w:val="32"/>
        </w:rPr>
        <w:t>、刘家鑫、王晨</w:t>
      </w:r>
    </w:p>
    <w:p w14:paraId="6D10FED6" w14:textId="4E9F7016" w:rsidR="00AE0E14" w:rsidRDefault="00AE0E14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成果类别：</w:t>
      </w:r>
      <w:r w:rsidR="0030696C">
        <w:rPr>
          <w:rFonts w:ascii="仿宋_GB2312" w:eastAsia="仿宋_GB2312" w:hAnsi="仿宋_GB2312" w:cs="仿宋_GB2312" w:hint="eastAsia"/>
          <w:sz w:val="32"/>
          <w:szCs w:val="32"/>
        </w:rPr>
        <w:t>软科学</w:t>
      </w:r>
    </w:p>
    <w:p w14:paraId="0647017E" w14:textId="2A33B137" w:rsidR="00AE0E14" w:rsidRDefault="00AE0E14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可接受等级：</w:t>
      </w:r>
      <w:r w:rsidR="00DB5D0D">
        <w:rPr>
          <w:rFonts w:ascii="仿宋_GB2312" w:eastAsia="仿宋_GB2312" w:hAnsi="仿宋_GB2312" w:cs="仿宋_GB2312" w:hint="eastAsia"/>
          <w:sz w:val="32"/>
          <w:szCs w:val="32"/>
        </w:rPr>
        <w:t>一等奖</w:t>
      </w:r>
    </w:p>
    <w:p w14:paraId="022D6807" w14:textId="6E243349" w:rsidR="00745CA2" w:rsidRDefault="001938A0" w:rsidP="006E4E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项目简介：</w:t>
      </w:r>
    </w:p>
    <w:p w14:paraId="21D3DD59" w14:textId="6991FDA9" w:rsidR="00D06A5D" w:rsidRPr="004C2A32" w:rsidRDefault="00EC1986" w:rsidP="004C2A3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本项目主要研究面向快递服务的物流仓储管理理论及关键技术，</w:t>
      </w:r>
      <w:r w:rsidR="00F55726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</w:t>
      </w:r>
      <w:r w:rsidR="00F55726">
        <w:rPr>
          <w:rFonts w:ascii="仿宋_GB2312" w:eastAsia="仿宋_GB2312" w:hAnsi="仿宋_GB2312" w:cs="仿宋_GB2312" w:hint="eastAsia"/>
          <w:sz w:val="32"/>
          <w:szCs w:val="32"/>
        </w:rPr>
        <w:t>各区域的物流快递</w:t>
      </w:r>
      <w:r w:rsidR="002D503E">
        <w:rPr>
          <w:rFonts w:ascii="仿宋_GB2312" w:eastAsia="仿宋_GB2312" w:hAnsi="仿宋_GB2312" w:cs="仿宋_GB2312" w:hint="eastAsia"/>
          <w:sz w:val="32"/>
          <w:szCs w:val="32"/>
        </w:rPr>
        <w:t>业发展进行评价与效率分析，</w:t>
      </w:r>
      <w:r w:rsidR="00342948">
        <w:rPr>
          <w:rFonts w:ascii="仿宋_GB2312" w:eastAsia="仿宋_GB2312" w:hAnsi="仿宋_GB2312" w:cs="仿宋_GB2312" w:hint="eastAsia"/>
          <w:sz w:val="32"/>
          <w:szCs w:val="32"/>
        </w:rPr>
        <w:t>分析</w:t>
      </w:r>
      <w:r>
        <w:rPr>
          <w:rFonts w:ascii="仿宋_GB2312" w:eastAsia="仿宋_GB2312" w:hAnsi="仿宋_GB2312" w:cs="仿宋_GB2312" w:hint="eastAsia"/>
          <w:sz w:val="32"/>
          <w:szCs w:val="32"/>
        </w:rPr>
        <w:t>快递业快速发展背后遗留的</w:t>
      </w:r>
      <w:r w:rsidR="00F658F7">
        <w:rPr>
          <w:rFonts w:ascii="仿宋_GB2312" w:eastAsia="仿宋_GB2312" w:hAnsi="仿宋_GB2312" w:cs="仿宋_GB2312" w:hint="eastAsia"/>
          <w:sz w:val="32"/>
          <w:szCs w:val="32"/>
        </w:rPr>
        <w:t>各项问题，如快递服务同质化、</w:t>
      </w:r>
      <w:r w:rsidR="002D503E">
        <w:rPr>
          <w:rFonts w:ascii="仿宋_GB2312" w:eastAsia="仿宋_GB2312" w:hAnsi="仿宋_GB2312" w:cs="仿宋_GB2312" w:hint="eastAsia"/>
          <w:sz w:val="32"/>
          <w:szCs w:val="32"/>
        </w:rPr>
        <w:t>网络资源配置不协调、</w:t>
      </w:r>
      <w:r w:rsidR="00F658F7">
        <w:rPr>
          <w:rFonts w:ascii="仿宋_GB2312" w:eastAsia="仿宋_GB2312" w:hAnsi="仿宋_GB2312" w:cs="仿宋_GB2312" w:hint="eastAsia"/>
          <w:sz w:val="32"/>
          <w:szCs w:val="32"/>
        </w:rPr>
        <w:t>配送成本高、</w:t>
      </w:r>
      <w:r w:rsidR="002D503E">
        <w:rPr>
          <w:rFonts w:ascii="仿宋_GB2312" w:eastAsia="仿宋_GB2312" w:hAnsi="仿宋_GB2312" w:cs="仿宋_GB2312" w:hint="eastAsia"/>
          <w:sz w:val="32"/>
          <w:szCs w:val="32"/>
        </w:rPr>
        <w:t>行业管理不规范</w:t>
      </w:r>
      <w:r w:rsidR="002E67A1">
        <w:rPr>
          <w:rFonts w:ascii="仿宋_GB2312" w:eastAsia="仿宋_GB2312" w:hAnsi="仿宋_GB2312" w:cs="仿宋_GB2312" w:hint="eastAsia"/>
          <w:sz w:val="32"/>
          <w:szCs w:val="32"/>
        </w:rPr>
        <w:t>等。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 w:rsidR="002E67A1">
        <w:rPr>
          <w:rFonts w:ascii="仿宋_GB2312" w:eastAsia="仿宋_GB2312" w:hAnsi="仿宋_GB2312" w:cs="仿宋_GB2312" w:hint="eastAsia"/>
          <w:sz w:val="32"/>
          <w:szCs w:val="32"/>
        </w:rPr>
        <w:t>这些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问题，项目基于</w:t>
      </w:r>
      <w:r w:rsidR="00B4172E">
        <w:rPr>
          <w:rFonts w:ascii="仿宋_GB2312" w:eastAsia="仿宋_GB2312" w:hAnsi="仿宋_GB2312" w:cs="仿宋_GB2312" w:hint="eastAsia"/>
          <w:sz w:val="32"/>
          <w:szCs w:val="32"/>
        </w:rPr>
        <w:t>大数据背景下的物流快递网络</w:t>
      </w:r>
      <w:r w:rsidR="002136E1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B4172E">
        <w:rPr>
          <w:rFonts w:ascii="仿宋_GB2312" w:eastAsia="仿宋_GB2312" w:hAnsi="仿宋_GB2312" w:cs="仿宋_GB2312" w:hint="eastAsia"/>
          <w:sz w:val="32"/>
          <w:szCs w:val="32"/>
        </w:rPr>
        <w:t>研究和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智能物流关键技术，</w:t>
      </w:r>
      <w:r w:rsidR="002136E1">
        <w:rPr>
          <w:rFonts w:ascii="仿宋_GB2312" w:eastAsia="仿宋_GB2312" w:hAnsi="仿宋_GB2312" w:cs="仿宋_GB2312" w:hint="eastAsia"/>
          <w:sz w:val="32"/>
          <w:szCs w:val="32"/>
        </w:rPr>
        <w:t>探索“互联网+”背景下物流快递服务方式创新、大数据背景下的管理方法创新</w:t>
      </w:r>
      <w:r w:rsidR="00F5572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136E1">
        <w:rPr>
          <w:rFonts w:ascii="仿宋_GB2312" w:eastAsia="仿宋_GB2312" w:hAnsi="仿宋_GB2312" w:cs="仿宋_GB2312" w:hint="eastAsia"/>
          <w:sz w:val="32"/>
          <w:szCs w:val="32"/>
        </w:rPr>
        <w:t>同时结合</w:t>
      </w:r>
      <w:r w:rsidR="006E4E38" w:rsidRPr="006E4E38">
        <w:rPr>
          <w:rFonts w:ascii="仿宋_GB2312" w:eastAsia="仿宋_GB2312" w:hAnsi="仿宋_GB2312" w:cs="仿宋_GB2312" w:hint="eastAsia"/>
          <w:sz w:val="32"/>
          <w:szCs w:val="32"/>
        </w:rPr>
        <w:t>RFID技术、XML数据交换技术、智能仓储优化算法，</w:t>
      </w:r>
      <w:r w:rsidR="00F55726">
        <w:rPr>
          <w:rFonts w:ascii="仿宋_GB2312" w:eastAsia="仿宋_GB2312" w:hAnsi="仿宋_GB2312" w:cs="仿宋_GB2312" w:hint="eastAsia"/>
          <w:sz w:val="32"/>
          <w:szCs w:val="32"/>
        </w:rPr>
        <w:t>研发出物流企业仓储管理系统，</w:t>
      </w:r>
      <w:r w:rsidR="008A4947">
        <w:rPr>
          <w:rFonts w:ascii="仿宋_GB2312" w:eastAsia="仿宋_GB2312" w:hAnsi="仿宋_GB2312" w:cs="仿宋_GB2312" w:hint="eastAsia"/>
          <w:sz w:val="32"/>
          <w:szCs w:val="32"/>
        </w:rPr>
        <w:t>实现了智能仓储管理的数据采集、数据传输、智能化分析，</w:t>
      </w:r>
      <w:r w:rsidR="00F55726">
        <w:rPr>
          <w:rFonts w:ascii="仿宋_GB2312" w:eastAsia="仿宋_GB2312" w:hAnsi="仿宋_GB2312" w:cs="仿宋_GB2312" w:hint="eastAsia"/>
          <w:sz w:val="32"/>
          <w:szCs w:val="32"/>
        </w:rPr>
        <w:t>进而从仓储环节提高物流配送效率，</w:t>
      </w:r>
      <w:r w:rsidR="002D503E">
        <w:rPr>
          <w:rFonts w:ascii="仿宋_GB2312" w:eastAsia="仿宋_GB2312" w:hAnsi="仿宋_GB2312" w:cs="仿宋_GB2312" w:hint="eastAsia"/>
          <w:sz w:val="32"/>
          <w:szCs w:val="32"/>
        </w:rPr>
        <w:t>对物流业的管理科学化、服务高效化具有重要意义。</w:t>
      </w:r>
      <w:r w:rsidR="00F55726" w:rsidRPr="006E4E38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44E00447" w14:textId="3875FF67" w:rsidR="00264021" w:rsidRDefault="001938A0" w:rsidP="004C2A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主要知识产权目录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(代表作</w:t>
      </w:r>
      <w:r w:rsidR="0067692D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专利、</w:t>
      </w:r>
      <w:r w:rsidR="0094635B">
        <w:rPr>
          <w:rFonts w:ascii="仿宋_GB2312" w:eastAsia="仿宋_GB2312" w:hAnsi="仿宋_GB2312" w:cs="仿宋_GB2312" w:hint="eastAsia"/>
          <w:sz w:val="32"/>
          <w:szCs w:val="32"/>
        </w:rPr>
        <w:t>计算机软件著作权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等)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110F97F" w14:textId="77777777" w:rsidR="00264021" w:rsidRPr="004C2A32" w:rsidRDefault="00264021" w:rsidP="001938A0">
      <w:pPr>
        <w:rPr>
          <w:rFonts w:ascii="仿宋_GB2312" w:eastAsia="仿宋_GB2312" w:hAnsi="仿宋_GB2312" w:cs="仿宋_GB2312"/>
          <w:sz w:val="32"/>
          <w:szCs w:val="32"/>
        </w:rPr>
        <w:sectPr w:rsidR="00264021" w:rsidRPr="004C2A32" w:rsidSect="00301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634077F1" w14:textId="0D78E048" w:rsidR="00264021" w:rsidRPr="004A0355" w:rsidRDefault="00264021" w:rsidP="00264021">
      <w:pPr>
        <w:pStyle w:val="a8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  <w:r>
        <w:rPr>
          <w:rFonts w:ascii="宋体" w:hAnsi="宋体" w:cs="Courier" w:hint="eastAsia"/>
          <w:b/>
          <w:kern w:val="0"/>
          <w:sz w:val="28"/>
          <w:szCs w:val="28"/>
        </w:rPr>
        <w:lastRenderedPageBreak/>
        <w:t>主要</w:t>
      </w:r>
      <w:r w:rsidRPr="004A0355">
        <w:rPr>
          <w:rFonts w:ascii="宋体" w:hAnsi="宋体" w:cs="Courier"/>
          <w:b/>
          <w:kern w:val="0"/>
          <w:sz w:val="28"/>
          <w:szCs w:val="28"/>
        </w:rPr>
        <w:t>论文</w:t>
      </w:r>
      <w:r w:rsidRPr="004A0355">
        <w:rPr>
          <w:rFonts w:ascii="宋体" w:hAnsi="宋体" w:cs="Courier" w:hint="eastAsia"/>
          <w:b/>
          <w:kern w:val="0"/>
          <w:sz w:val="28"/>
          <w:szCs w:val="28"/>
        </w:rPr>
        <w:t>专</w:t>
      </w:r>
      <w:r w:rsidRPr="004A0355">
        <w:rPr>
          <w:rFonts w:ascii="宋体" w:hAnsi="宋体" w:cs="Courier"/>
          <w:b/>
          <w:kern w:val="0"/>
          <w:sz w:val="28"/>
          <w:szCs w:val="28"/>
        </w:rPr>
        <w:t>著目录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（</w:t>
      </w:r>
      <w:r w:rsidRPr="00E579E1">
        <w:rPr>
          <w:rFonts w:ascii="宋体" w:hAnsi="宋体" w:cs="Courier"/>
          <w:b/>
          <w:kern w:val="0"/>
          <w:sz w:val="28"/>
          <w:szCs w:val="28"/>
        </w:rPr>
        <w:t>限</w:t>
      </w:r>
      <w:r w:rsidR="00B45EAD">
        <w:rPr>
          <w:rFonts w:ascii="宋体" w:hAnsi="宋体" w:cs="Courier" w:hint="eastAsia"/>
          <w:b/>
          <w:kern w:val="0"/>
          <w:sz w:val="28"/>
          <w:szCs w:val="28"/>
        </w:rPr>
        <w:t>8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条）</w:t>
      </w:r>
    </w:p>
    <w:tbl>
      <w:tblPr>
        <w:tblpPr w:leftFromText="180" w:rightFromText="180" w:vertAnchor="text" w:horzAnchor="margin" w:tblpXSpec="center" w:tblpY="270"/>
        <w:tblW w:w="47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3969"/>
        <w:gridCol w:w="2124"/>
        <w:gridCol w:w="1136"/>
        <w:gridCol w:w="2975"/>
        <w:gridCol w:w="993"/>
        <w:gridCol w:w="851"/>
        <w:gridCol w:w="992"/>
      </w:tblGrid>
      <w:tr w:rsidR="006E4E38" w:rsidRPr="00E579E1" w14:paraId="1C32ADEE" w14:textId="77777777" w:rsidTr="00D06A5D">
        <w:trPr>
          <w:trHeight w:val="20"/>
          <w:jc w:val="center"/>
        </w:trPr>
        <w:tc>
          <w:tcPr>
            <w:tcW w:w="394" w:type="dxa"/>
            <w:vAlign w:val="center"/>
          </w:tcPr>
          <w:p w14:paraId="3B464D97" w14:textId="77777777" w:rsidR="00264021" w:rsidRPr="00E579E1" w:rsidRDefault="00264021" w:rsidP="00560E3B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14:paraId="131B690F" w14:textId="575D17AF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论文专著名称</w:t>
            </w:r>
          </w:p>
        </w:tc>
        <w:tc>
          <w:tcPr>
            <w:tcW w:w="2124" w:type="dxa"/>
            <w:vAlign w:val="center"/>
          </w:tcPr>
          <w:p w14:paraId="1D9A17B4" w14:textId="77777777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刊名</w:t>
            </w:r>
          </w:p>
        </w:tc>
        <w:tc>
          <w:tcPr>
            <w:tcW w:w="1136" w:type="dxa"/>
            <w:vAlign w:val="center"/>
          </w:tcPr>
          <w:p w14:paraId="3B8C1128" w14:textId="77777777" w:rsidR="00264021" w:rsidRPr="00E579E1" w:rsidRDefault="00264021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75" w:type="dxa"/>
            <w:vAlign w:val="center"/>
          </w:tcPr>
          <w:p w14:paraId="077B114A" w14:textId="77777777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年卷页码（xx年xx卷xx页）</w:t>
            </w:r>
          </w:p>
        </w:tc>
        <w:tc>
          <w:tcPr>
            <w:tcW w:w="993" w:type="dxa"/>
            <w:vAlign w:val="center"/>
          </w:tcPr>
          <w:p w14:paraId="78CDEE97" w14:textId="77777777" w:rsidR="006E4E38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发表</w:t>
            </w:r>
          </w:p>
          <w:p w14:paraId="1752EAA0" w14:textId="7CC3A640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14:paraId="39386BA8" w14:textId="77777777" w:rsidR="008B061A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通讯</w:t>
            </w:r>
          </w:p>
          <w:p w14:paraId="62FFAC14" w14:textId="3F97AF9A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992" w:type="dxa"/>
            <w:vAlign w:val="center"/>
          </w:tcPr>
          <w:p w14:paraId="05795EB3" w14:textId="77777777" w:rsidR="00264021" w:rsidRPr="00E579E1" w:rsidRDefault="00264021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第一作者</w:t>
            </w:r>
          </w:p>
        </w:tc>
      </w:tr>
      <w:tr w:rsidR="006E4E38" w:rsidRPr="00E579E1" w14:paraId="467253A3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5F474014" w14:textId="77777777" w:rsidR="00264021" w:rsidRPr="00E579E1" w:rsidRDefault="00264021" w:rsidP="00560E3B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14:paraId="55053A2C" w14:textId="77777777" w:rsidR="008B061A" w:rsidRPr="00342948" w:rsidRDefault="00C82904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快递包装物回收产业链中企业与消费者</w:t>
            </w:r>
          </w:p>
          <w:p w14:paraId="4B721715" w14:textId="58F89F54" w:rsidR="00264021" w:rsidRPr="00342948" w:rsidRDefault="00C82904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演化博弈模型</w:t>
            </w:r>
          </w:p>
        </w:tc>
        <w:tc>
          <w:tcPr>
            <w:tcW w:w="2124" w:type="dxa"/>
            <w:vAlign w:val="center"/>
          </w:tcPr>
          <w:p w14:paraId="72EC55F8" w14:textId="56D6897C" w:rsidR="00264021" w:rsidRPr="00342948" w:rsidRDefault="00ED6D18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物流技术</w:t>
            </w:r>
          </w:p>
        </w:tc>
        <w:tc>
          <w:tcPr>
            <w:tcW w:w="1136" w:type="dxa"/>
            <w:vAlign w:val="center"/>
          </w:tcPr>
          <w:p w14:paraId="6FAB0706" w14:textId="488B449D" w:rsidR="00264021" w:rsidRPr="00342948" w:rsidRDefault="00580776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  <w:r w:rsidR="001D5636">
              <w:rPr>
                <w:rFonts w:ascii="宋体" w:hAnsi="宋体" w:hint="eastAsia"/>
                <w:sz w:val="21"/>
                <w:szCs w:val="21"/>
              </w:rPr>
              <w:t>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曹青</w:t>
            </w:r>
          </w:p>
        </w:tc>
        <w:tc>
          <w:tcPr>
            <w:tcW w:w="2975" w:type="dxa"/>
            <w:vAlign w:val="center"/>
          </w:tcPr>
          <w:p w14:paraId="0F395BCE" w14:textId="16C4B2B9" w:rsidR="00264021" w:rsidRPr="00342948" w:rsidRDefault="00ED6D18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2019</w:t>
            </w:r>
            <w:r w:rsidR="00AC01BF" w:rsidRPr="00342948">
              <w:rPr>
                <w:rFonts w:ascii="宋体" w:hAnsi="宋体" w:hint="eastAsia"/>
                <w:sz w:val="21"/>
                <w:szCs w:val="21"/>
              </w:rPr>
              <w:t>年</w:t>
            </w:r>
            <w:r w:rsidRPr="00342948">
              <w:rPr>
                <w:rFonts w:ascii="宋体" w:hAnsi="宋体"/>
                <w:sz w:val="21"/>
                <w:szCs w:val="21"/>
              </w:rPr>
              <w:t>38</w:t>
            </w:r>
            <w:r w:rsidR="00AC01BF" w:rsidRPr="00342948">
              <w:rPr>
                <w:rFonts w:ascii="宋体" w:hAnsi="宋体" w:hint="eastAsia"/>
                <w:sz w:val="21"/>
                <w:szCs w:val="21"/>
              </w:rPr>
              <w:t>卷</w:t>
            </w:r>
            <w:r w:rsidR="00AA6181" w:rsidRPr="00342948">
              <w:rPr>
                <w:rFonts w:ascii="宋体" w:hAnsi="宋体" w:hint="eastAsia"/>
                <w:sz w:val="21"/>
                <w:szCs w:val="21"/>
              </w:rPr>
              <w:t>第</w:t>
            </w:r>
            <w:r w:rsidR="00AC01BF" w:rsidRPr="00342948">
              <w:rPr>
                <w:rFonts w:ascii="宋体" w:hAnsi="宋体"/>
                <w:sz w:val="21"/>
                <w:szCs w:val="21"/>
              </w:rPr>
              <w:t>1</w:t>
            </w:r>
            <w:r w:rsidR="00AA6181" w:rsidRPr="00342948">
              <w:rPr>
                <w:rFonts w:ascii="宋体" w:hAnsi="宋体" w:hint="eastAsia"/>
                <w:sz w:val="21"/>
                <w:szCs w:val="21"/>
              </w:rPr>
              <w:t>期</w:t>
            </w:r>
            <w:r w:rsidRPr="00342948">
              <w:rPr>
                <w:rFonts w:ascii="宋体" w:hAnsi="宋体"/>
                <w:sz w:val="21"/>
                <w:szCs w:val="21"/>
              </w:rPr>
              <w:t>53-59</w:t>
            </w:r>
            <w:r w:rsidR="00AA6181" w:rsidRPr="00342948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993" w:type="dxa"/>
            <w:vAlign w:val="center"/>
          </w:tcPr>
          <w:p w14:paraId="2683B399" w14:textId="0D40681D" w:rsidR="00264021" w:rsidRPr="00342948" w:rsidRDefault="00D06A5D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2019</w:t>
            </w:r>
            <w:r w:rsidR="00623FA0" w:rsidRPr="00342948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F16FE9" w:rsidRPr="00342948"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D1370D" w:rsidRPr="00342948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14:paraId="258DAC2E" w14:textId="1E0EBF9C" w:rsidR="00264021" w:rsidRPr="00342948" w:rsidRDefault="00FC7430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47133202" w14:textId="64160474" w:rsidR="00264021" w:rsidRPr="00342948" w:rsidRDefault="006E4E38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057C95" w:rsidRPr="00E579E1" w14:paraId="3DD1B648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72598B00" w14:textId="140EE187" w:rsidR="00057C95" w:rsidRPr="00E579E1" w:rsidRDefault="00057C95" w:rsidP="00057C95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14:paraId="7036638D" w14:textId="7C4D944A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Times New Roman"/>
                <w:sz w:val="21"/>
                <w:szCs w:val="21"/>
              </w:rPr>
              <w:t>Research on Green Logistics Service Provider Selection Based on Combination Weights-TOPSIS</w:t>
            </w:r>
          </w:p>
        </w:tc>
        <w:tc>
          <w:tcPr>
            <w:tcW w:w="2124" w:type="dxa"/>
            <w:vAlign w:val="center"/>
          </w:tcPr>
          <w:p w14:paraId="71960F6E" w14:textId="4F59A454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Times New Roman"/>
                <w:sz w:val="21"/>
                <w:szCs w:val="21"/>
              </w:rPr>
              <w:t>International Core Journal of Engineering</w:t>
            </w:r>
          </w:p>
        </w:tc>
        <w:tc>
          <w:tcPr>
            <w:tcW w:w="1136" w:type="dxa"/>
            <w:vAlign w:val="center"/>
          </w:tcPr>
          <w:p w14:paraId="24DAEEDE" w14:textId="34AF8D40" w:rsidR="00057C95" w:rsidRPr="00342948" w:rsidRDefault="00057C95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  <w:r w:rsidR="001D5636">
              <w:rPr>
                <w:rFonts w:ascii="宋体" w:hAnsi="宋体" w:hint="eastAsia"/>
                <w:sz w:val="21"/>
                <w:szCs w:val="21"/>
              </w:rPr>
              <w:t>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曹青</w:t>
            </w:r>
          </w:p>
        </w:tc>
        <w:tc>
          <w:tcPr>
            <w:tcW w:w="2975" w:type="dxa"/>
            <w:vAlign w:val="center"/>
          </w:tcPr>
          <w:p w14:paraId="7E0A7085" w14:textId="394B1C7E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2019年第5卷第2期48-58页</w:t>
            </w:r>
          </w:p>
        </w:tc>
        <w:tc>
          <w:tcPr>
            <w:tcW w:w="993" w:type="dxa"/>
            <w:vAlign w:val="center"/>
          </w:tcPr>
          <w:p w14:paraId="718B8F28" w14:textId="111BA2D3" w:rsidR="00057C95" w:rsidRPr="00342948" w:rsidRDefault="00057C95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2019.</w:t>
            </w:r>
            <w:r w:rsidR="007C06B7" w:rsidRPr="00342948">
              <w:rPr>
                <w:rFonts w:ascii="宋体" w:eastAsia="宋体" w:hAnsi="宋体" w:cs="Times New Roman" w:hint="eastAsia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 w14:paraId="11FFE0A7" w14:textId="4837336B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205A2888" w14:textId="40C41A95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6E4E38" w:rsidRPr="00E579E1" w14:paraId="6626FAE7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08513A91" w14:textId="77777777" w:rsidR="001F558F" w:rsidRPr="00E579E1" w:rsidRDefault="001F558F" w:rsidP="001F558F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14:paraId="2F407151" w14:textId="78065FC2" w:rsidR="001F558F" w:rsidRPr="00342948" w:rsidRDefault="00343E17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3E17">
              <w:rPr>
                <w:rFonts w:ascii="Times New Roman" w:eastAsia="宋体" w:hAnsi="Times New Roman" w:cs="Times New Roman"/>
                <w:szCs w:val="21"/>
              </w:rPr>
              <w:t>基于</w:t>
            </w:r>
            <w:r w:rsidRPr="00343E17">
              <w:rPr>
                <w:rFonts w:ascii="Times New Roman" w:eastAsia="宋体" w:hAnsi="Times New Roman" w:cs="Times New Roman"/>
                <w:szCs w:val="21"/>
              </w:rPr>
              <w:t>SCP</w:t>
            </w:r>
            <w:r w:rsidRPr="00343E17">
              <w:rPr>
                <w:rFonts w:ascii="Times New Roman" w:eastAsia="宋体" w:hAnsi="Times New Roman" w:cs="Times New Roman"/>
                <w:szCs w:val="21"/>
              </w:rPr>
              <w:t>理论的中国邮政特快专递发展策略研究</w:t>
            </w:r>
          </w:p>
        </w:tc>
        <w:tc>
          <w:tcPr>
            <w:tcW w:w="2124" w:type="dxa"/>
            <w:vAlign w:val="center"/>
          </w:tcPr>
          <w:p w14:paraId="56480372" w14:textId="0CFD5C3A" w:rsidR="001F558F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3E17">
              <w:rPr>
                <w:rFonts w:ascii="宋体" w:hAnsi="宋体"/>
                <w:sz w:val="21"/>
                <w:szCs w:val="21"/>
              </w:rPr>
              <w:t>邮政研究</w:t>
            </w:r>
          </w:p>
        </w:tc>
        <w:tc>
          <w:tcPr>
            <w:tcW w:w="1136" w:type="dxa"/>
            <w:vAlign w:val="center"/>
          </w:tcPr>
          <w:p w14:paraId="23B91025" w14:textId="0B102564" w:rsidR="001F558F" w:rsidRPr="00342948" w:rsidRDefault="001F558F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  <w:r w:rsidR="001D5636">
              <w:rPr>
                <w:rFonts w:ascii="宋体" w:hAnsi="宋体" w:hint="eastAsia"/>
                <w:sz w:val="21"/>
                <w:szCs w:val="21"/>
              </w:rPr>
              <w:t>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张攀</w:t>
            </w:r>
          </w:p>
        </w:tc>
        <w:tc>
          <w:tcPr>
            <w:tcW w:w="2975" w:type="dxa"/>
            <w:vAlign w:val="center"/>
          </w:tcPr>
          <w:p w14:paraId="0DAD2C38" w14:textId="516B7429" w:rsidR="001F558F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2015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年第</w:t>
            </w:r>
            <w:r>
              <w:rPr>
                <w:rFonts w:ascii="宋体" w:hAnsi="宋体" w:hint="eastAsia"/>
                <w:sz w:val="21"/>
                <w:szCs w:val="21"/>
              </w:rPr>
              <w:t>31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卷第</w:t>
            </w: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期</w:t>
            </w:r>
            <w:r>
              <w:rPr>
                <w:rFonts w:ascii="宋体" w:hAnsi="宋体" w:hint="eastAsia"/>
                <w:sz w:val="21"/>
                <w:szCs w:val="21"/>
              </w:rPr>
              <w:t>9-10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993" w:type="dxa"/>
            <w:vAlign w:val="center"/>
          </w:tcPr>
          <w:p w14:paraId="47860C7A" w14:textId="44F8DDCB" w:rsidR="001F558F" w:rsidRPr="00342948" w:rsidRDefault="00D06A5D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2015.03</w:t>
            </w:r>
          </w:p>
        </w:tc>
        <w:tc>
          <w:tcPr>
            <w:tcW w:w="851" w:type="dxa"/>
            <w:vAlign w:val="center"/>
          </w:tcPr>
          <w:p w14:paraId="7C997DA2" w14:textId="1C70B1A6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27759D79" w14:textId="7254BD32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343E17" w:rsidRPr="00E579E1" w14:paraId="46148051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762556C4" w14:textId="1D98AF4A" w:rsidR="00343E17" w:rsidRDefault="00343E17" w:rsidP="00057C95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14:paraId="117E88BA" w14:textId="7A2A2316" w:rsidR="00343E17" w:rsidRDefault="00343E17" w:rsidP="0034294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3E17">
              <w:rPr>
                <w:rFonts w:ascii="Times New Roman" w:eastAsia="宋体" w:hAnsi="Times New Roman" w:cs="Times New Roman" w:hint="eastAsia"/>
                <w:szCs w:val="21"/>
              </w:rPr>
              <w:t>基于专利分析的国内外邮政领域情报研究</w:t>
            </w:r>
          </w:p>
        </w:tc>
        <w:tc>
          <w:tcPr>
            <w:tcW w:w="2124" w:type="dxa"/>
            <w:vAlign w:val="center"/>
          </w:tcPr>
          <w:p w14:paraId="3E501439" w14:textId="3F98A55C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3E17">
              <w:rPr>
                <w:rFonts w:ascii="宋体" w:hAnsi="宋体" w:hint="eastAsia"/>
                <w:sz w:val="21"/>
                <w:szCs w:val="21"/>
              </w:rPr>
              <w:t>情报杂志</w:t>
            </w:r>
          </w:p>
        </w:tc>
        <w:tc>
          <w:tcPr>
            <w:tcW w:w="1136" w:type="dxa"/>
            <w:vAlign w:val="center"/>
          </w:tcPr>
          <w:p w14:paraId="2124A194" w14:textId="7012729C" w:rsidR="00343E17" w:rsidRPr="00342948" w:rsidRDefault="001D5636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卢瑾</w:t>
            </w:r>
          </w:p>
        </w:tc>
        <w:tc>
          <w:tcPr>
            <w:tcW w:w="2975" w:type="dxa"/>
            <w:vAlign w:val="center"/>
          </w:tcPr>
          <w:p w14:paraId="15578090" w14:textId="00138255" w:rsidR="00343E17" w:rsidRPr="00342948" w:rsidRDefault="00343E17" w:rsidP="00343E17">
            <w:pPr>
              <w:pStyle w:val="a8"/>
              <w:adjustRightInd w:val="0"/>
              <w:spacing w:after="50" w:line="240" w:lineRule="auto"/>
              <w:ind w:firstLineChars="0" w:firstLine="0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2014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年第</w:t>
            </w:r>
            <w:r>
              <w:rPr>
                <w:rFonts w:ascii="宋体" w:hAnsi="宋体" w:hint="eastAsia"/>
                <w:sz w:val="21"/>
                <w:szCs w:val="21"/>
              </w:rPr>
              <w:t>33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卷第</w:t>
            </w:r>
            <w:r>
              <w:rPr>
                <w:rFonts w:ascii="宋体" w:hAnsi="宋体" w:hint="eastAsia"/>
                <w:sz w:val="21"/>
                <w:szCs w:val="21"/>
              </w:rPr>
              <w:t>7期44-49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993" w:type="dxa"/>
            <w:vAlign w:val="center"/>
          </w:tcPr>
          <w:p w14:paraId="58EBC6F6" w14:textId="41750FCC" w:rsidR="00343E17" w:rsidRPr="00342948" w:rsidRDefault="00D06A5D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2014.04</w:t>
            </w:r>
          </w:p>
        </w:tc>
        <w:tc>
          <w:tcPr>
            <w:tcW w:w="851" w:type="dxa"/>
            <w:vAlign w:val="center"/>
          </w:tcPr>
          <w:p w14:paraId="683CC37A" w14:textId="256DC2B3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7E23FFAD" w14:textId="14DE065E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343E17" w:rsidRPr="00E579E1" w14:paraId="3CEABBB5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6C5ADD43" w14:textId="0589635B" w:rsidR="00343E17" w:rsidRDefault="00343E17" w:rsidP="00057C95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14:paraId="74E73797" w14:textId="0E570C27" w:rsidR="00343E17" w:rsidRDefault="00343E17" w:rsidP="0034294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3E17">
              <w:rPr>
                <w:rFonts w:ascii="Times New Roman" w:eastAsia="宋体" w:hAnsi="Times New Roman" w:cs="Times New Roman" w:hint="eastAsia"/>
                <w:szCs w:val="21"/>
              </w:rPr>
              <w:t>基于对比分析方法的邮政特快专递发展策略研究</w:t>
            </w:r>
          </w:p>
        </w:tc>
        <w:tc>
          <w:tcPr>
            <w:tcW w:w="2124" w:type="dxa"/>
            <w:vAlign w:val="center"/>
          </w:tcPr>
          <w:p w14:paraId="654C9D8E" w14:textId="0CC331D7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物流技术</w:t>
            </w:r>
          </w:p>
        </w:tc>
        <w:tc>
          <w:tcPr>
            <w:tcW w:w="1136" w:type="dxa"/>
            <w:vAlign w:val="center"/>
          </w:tcPr>
          <w:p w14:paraId="47453A9C" w14:textId="4F9F27B1" w:rsidR="00343E17" w:rsidRPr="00342948" w:rsidRDefault="001D5636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张攀</w:t>
            </w:r>
          </w:p>
        </w:tc>
        <w:tc>
          <w:tcPr>
            <w:tcW w:w="2975" w:type="dxa"/>
            <w:vAlign w:val="center"/>
          </w:tcPr>
          <w:p w14:paraId="45E64D56" w14:textId="4D3E8F37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2014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年第</w:t>
            </w:r>
            <w:r>
              <w:rPr>
                <w:rFonts w:ascii="宋体" w:hAnsi="宋体" w:hint="eastAsia"/>
                <w:sz w:val="21"/>
                <w:szCs w:val="21"/>
              </w:rPr>
              <w:t>33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卷第</w:t>
            </w:r>
            <w:r>
              <w:rPr>
                <w:rFonts w:ascii="宋体" w:hAnsi="宋体" w:hint="eastAsia"/>
                <w:sz w:val="21"/>
                <w:szCs w:val="21"/>
              </w:rPr>
              <w:t>11期5-7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993" w:type="dxa"/>
            <w:vAlign w:val="center"/>
          </w:tcPr>
          <w:p w14:paraId="2F31ADD7" w14:textId="41DF8ECC" w:rsidR="00343E17" w:rsidRPr="00342948" w:rsidRDefault="00D06A5D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2014.04</w:t>
            </w:r>
          </w:p>
        </w:tc>
        <w:tc>
          <w:tcPr>
            <w:tcW w:w="851" w:type="dxa"/>
            <w:vAlign w:val="center"/>
          </w:tcPr>
          <w:p w14:paraId="1FE6E387" w14:textId="3F54E50B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77B38463" w14:textId="7D230271" w:rsidR="00343E17" w:rsidRPr="00342948" w:rsidRDefault="00343E17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057C95" w:rsidRPr="00E579E1" w14:paraId="11520C35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1319A518" w14:textId="0D78FEA0" w:rsidR="00057C95" w:rsidRPr="00E579E1" w:rsidRDefault="00343E17" w:rsidP="00057C95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14:paraId="59DF4C1B" w14:textId="26A6437A" w:rsidR="00057C95" w:rsidRPr="00342948" w:rsidRDefault="00343E17" w:rsidP="0034294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专利视角下物流设备情报分析</w:t>
            </w:r>
          </w:p>
        </w:tc>
        <w:tc>
          <w:tcPr>
            <w:tcW w:w="2124" w:type="dxa"/>
            <w:vAlign w:val="center"/>
          </w:tcPr>
          <w:p w14:paraId="66777F19" w14:textId="78CC0DFB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计算机应用与软件</w:t>
            </w:r>
          </w:p>
        </w:tc>
        <w:tc>
          <w:tcPr>
            <w:tcW w:w="1136" w:type="dxa"/>
            <w:vAlign w:val="center"/>
          </w:tcPr>
          <w:p w14:paraId="1153D360" w14:textId="0CCF4FDC" w:rsidR="00057C95" w:rsidRPr="00342948" w:rsidRDefault="00057C95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  <w:r w:rsidR="001D5636">
              <w:rPr>
                <w:rFonts w:ascii="宋体" w:hAnsi="宋体" w:hint="eastAsia"/>
                <w:sz w:val="21"/>
                <w:szCs w:val="21"/>
              </w:rPr>
              <w:t>，</w:t>
            </w:r>
            <w:r w:rsidR="00343E17">
              <w:rPr>
                <w:rFonts w:ascii="宋体" w:hAnsi="宋体" w:hint="eastAsia"/>
                <w:sz w:val="21"/>
                <w:szCs w:val="21"/>
              </w:rPr>
              <w:t>雷冲</w:t>
            </w:r>
          </w:p>
        </w:tc>
        <w:tc>
          <w:tcPr>
            <w:tcW w:w="2975" w:type="dxa"/>
            <w:vAlign w:val="center"/>
          </w:tcPr>
          <w:p w14:paraId="57E0D5ED" w14:textId="475989BD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2015年第32卷115-118页</w:t>
            </w:r>
          </w:p>
        </w:tc>
        <w:tc>
          <w:tcPr>
            <w:tcW w:w="993" w:type="dxa"/>
            <w:vAlign w:val="center"/>
          </w:tcPr>
          <w:p w14:paraId="677BCCF2" w14:textId="6AE67A7D" w:rsidR="00057C95" w:rsidRPr="00342948" w:rsidRDefault="00057C95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Pr="00342948">
              <w:rPr>
                <w:rFonts w:ascii="宋体" w:eastAsia="宋体" w:hAnsi="宋体" w:cs="Times New Roman"/>
                <w:szCs w:val="21"/>
              </w:rPr>
              <w:t>5</w:t>
            </w:r>
            <w:r w:rsidRPr="00342948">
              <w:rPr>
                <w:rFonts w:ascii="宋体" w:eastAsia="宋体" w:hAnsi="宋体" w:cs="Times New Roman" w:hint="eastAsia"/>
                <w:szCs w:val="21"/>
              </w:rPr>
              <w:t>.10</w:t>
            </w:r>
          </w:p>
        </w:tc>
        <w:tc>
          <w:tcPr>
            <w:tcW w:w="851" w:type="dxa"/>
            <w:vAlign w:val="center"/>
          </w:tcPr>
          <w:p w14:paraId="137256AE" w14:textId="48C2AE5D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  <w:tc>
          <w:tcPr>
            <w:tcW w:w="992" w:type="dxa"/>
            <w:vAlign w:val="center"/>
          </w:tcPr>
          <w:p w14:paraId="247400DE" w14:textId="1D9E70ED" w:rsidR="00057C95" w:rsidRPr="00342948" w:rsidRDefault="00057C95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</w:t>
            </w:r>
          </w:p>
        </w:tc>
      </w:tr>
      <w:tr w:rsidR="006E4E38" w:rsidRPr="00E579E1" w14:paraId="39F18BB6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13AB12A4" w14:textId="50ECB686" w:rsidR="001F558F" w:rsidRPr="00E579E1" w:rsidRDefault="00343E17" w:rsidP="001F558F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14:paraId="24F6D8B3" w14:textId="77365004" w:rsidR="001F558F" w:rsidRPr="00342948" w:rsidRDefault="001F558F" w:rsidP="00342948">
            <w:pPr>
              <w:tabs>
                <w:tab w:val="left" w:pos="112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2948">
              <w:rPr>
                <w:rFonts w:ascii="Times New Roman" w:eastAsia="宋体" w:hAnsi="Times New Roman" w:cs="Times New Roman"/>
                <w:szCs w:val="21"/>
              </w:rPr>
              <w:t>Research on Supply Chain Coordination Based on Block Chain Technology and Customer Random Demand</w:t>
            </w:r>
          </w:p>
        </w:tc>
        <w:tc>
          <w:tcPr>
            <w:tcW w:w="2124" w:type="dxa"/>
            <w:vAlign w:val="center"/>
          </w:tcPr>
          <w:p w14:paraId="2CE40A91" w14:textId="26261ACA" w:rsidR="001F558F" w:rsidRPr="00342948" w:rsidRDefault="001F558F" w:rsidP="001D5636">
            <w:pPr>
              <w:pStyle w:val="a8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342948">
              <w:rPr>
                <w:rFonts w:ascii="Times New Roman"/>
                <w:sz w:val="21"/>
                <w:szCs w:val="21"/>
              </w:rPr>
              <w:t>DISCRETE DYNAMICS INNATURE AND SOCIETY</w:t>
            </w:r>
          </w:p>
        </w:tc>
        <w:tc>
          <w:tcPr>
            <w:tcW w:w="1136" w:type="dxa"/>
            <w:vAlign w:val="center"/>
          </w:tcPr>
          <w:p w14:paraId="437637B7" w14:textId="2EAD598D" w:rsidR="001F558F" w:rsidRPr="00342948" w:rsidRDefault="001F558F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2975" w:type="dxa"/>
            <w:vAlign w:val="center"/>
          </w:tcPr>
          <w:p w14:paraId="2944358F" w14:textId="4A9EFAB1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2019年19卷1-10页</w:t>
            </w:r>
          </w:p>
        </w:tc>
        <w:tc>
          <w:tcPr>
            <w:tcW w:w="993" w:type="dxa"/>
            <w:vAlign w:val="center"/>
          </w:tcPr>
          <w:p w14:paraId="38C76CC4" w14:textId="6CEE1FEE" w:rsidR="001F558F" w:rsidRPr="00342948" w:rsidRDefault="001F558F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2019.02</w:t>
            </w:r>
          </w:p>
        </w:tc>
        <w:tc>
          <w:tcPr>
            <w:tcW w:w="851" w:type="dxa"/>
            <w:vAlign w:val="center"/>
          </w:tcPr>
          <w:p w14:paraId="55A46F6C" w14:textId="7092CBF0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992" w:type="dxa"/>
            <w:vAlign w:val="center"/>
          </w:tcPr>
          <w:p w14:paraId="2053625F" w14:textId="002EC224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</w:tr>
      <w:tr w:rsidR="006E4E38" w:rsidRPr="00E579E1" w14:paraId="1D43F251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02899D9D" w14:textId="3E8EE28B" w:rsidR="001F558F" w:rsidRPr="00E579E1" w:rsidRDefault="00343E17" w:rsidP="001F558F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14:paraId="74703100" w14:textId="0DA5F41E" w:rsidR="001F558F" w:rsidRPr="00342948" w:rsidRDefault="00F2449B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《</w:t>
            </w:r>
            <w:r w:rsidR="001F558F" w:rsidRPr="00342948">
              <w:rPr>
                <w:rFonts w:ascii="宋体" w:eastAsia="宋体" w:hAnsi="宋体" w:cs="Times New Roman" w:hint="eastAsia"/>
                <w:szCs w:val="21"/>
              </w:rPr>
              <w:t>供应链质量管理体系前沿和体系研究</w:t>
            </w:r>
            <w:r w:rsidRPr="00342948">
              <w:rPr>
                <w:rFonts w:ascii="宋体" w:eastAsia="宋体" w:hAnsi="宋体" w:cs="Times New Roman" w:hint="eastAsia"/>
                <w:szCs w:val="21"/>
              </w:rPr>
              <w:t>》</w:t>
            </w:r>
          </w:p>
        </w:tc>
        <w:tc>
          <w:tcPr>
            <w:tcW w:w="2124" w:type="dxa"/>
            <w:vAlign w:val="center"/>
          </w:tcPr>
          <w:p w14:paraId="0F14CA36" w14:textId="3F672117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机械工业出版社</w:t>
            </w:r>
          </w:p>
        </w:tc>
        <w:tc>
          <w:tcPr>
            <w:tcW w:w="1136" w:type="dxa"/>
            <w:vAlign w:val="center"/>
          </w:tcPr>
          <w:p w14:paraId="2B9E31BD" w14:textId="726D587A" w:rsidR="001F558F" w:rsidRPr="00342948" w:rsidRDefault="001F558F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2975" w:type="dxa"/>
            <w:vAlign w:val="center"/>
          </w:tcPr>
          <w:p w14:paraId="6EE6FB5F" w14:textId="32928C8A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ISBN</w:t>
            </w:r>
            <w:r w:rsidR="008A063D" w:rsidRPr="00342948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42948">
              <w:rPr>
                <w:rFonts w:ascii="宋体" w:hAnsi="宋体"/>
                <w:sz w:val="21"/>
                <w:szCs w:val="21"/>
              </w:rPr>
              <w:t>978-7-111-54718-1</w:t>
            </w:r>
          </w:p>
        </w:tc>
        <w:tc>
          <w:tcPr>
            <w:tcW w:w="993" w:type="dxa"/>
            <w:vAlign w:val="center"/>
          </w:tcPr>
          <w:p w14:paraId="2E4651F1" w14:textId="5193BAB5" w:rsidR="001F558F" w:rsidRPr="00342948" w:rsidRDefault="001F558F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2016.08</w:t>
            </w:r>
          </w:p>
        </w:tc>
        <w:tc>
          <w:tcPr>
            <w:tcW w:w="851" w:type="dxa"/>
            <w:vAlign w:val="center"/>
          </w:tcPr>
          <w:p w14:paraId="5AC249B7" w14:textId="408A62AF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992" w:type="dxa"/>
            <w:vAlign w:val="center"/>
          </w:tcPr>
          <w:p w14:paraId="6A92D00A" w14:textId="17F8A194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</w:tr>
      <w:tr w:rsidR="006E4E38" w:rsidRPr="00E579E1" w14:paraId="662A6CEE" w14:textId="77777777" w:rsidTr="00D06A5D">
        <w:trPr>
          <w:trHeight w:val="724"/>
          <w:jc w:val="center"/>
        </w:trPr>
        <w:tc>
          <w:tcPr>
            <w:tcW w:w="394" w:type="dxa"/>
            <w:vAlign w:val="center"/>
          </w:tcPr>
          <w:p w14:paraId="52B3C95E" w14:textId="1DE43A85" w:rsidR="001F558F" w:rsidRPr="00E579E1" w:rsidRDefault="00343E17" w:rsidP="001F558F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14:paraId="564100FA" w14:textId="3292DF5E" w:rsidR="001F558F" w:rsidRPr="00342948" w:rsidRDefault="00F2449B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《</w:t>
            </w:r>
            <w:r w:rsidR="001F558F" w:rsidRPr="00342948">
              <w:rPr>
                <w:rFonts w:ascii="宋体" w:eastAsia="宋体" w:hAnsi="宋体" w:cs="Times New Roman" w:hint="eastAsia"/>
                <w:szCs w:val="21"/>
              </w:rPr>
              <w:t>服务供应链质量协调理论和模型研究</w:t>
            </w:r>
            <w:r w:rsidRPr="00342948">
              <w:rPr>
                <w:rFonts w:ascii="宋体" w:eastAsia="宋体" w:hAnsi="宋体" w:cs="Times New Roman" w:hint="eastAsia"/>
                <w:szCs w:val="21"/>
              </w:rPr>
              <w:t>》</w:t>
            </w:r>
          </w:p>
        </w:tc>
        <w:tc>
          <w:tcPr>
            <w:tcW w:w="2124" w:type="dxa"/>
            <w:vAlign w:val="center"/>
          </w:tcPr>
          <w:p w14:paraId="16CF4AE5" w14:textId="24BC9C61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科学出版社</w:t>
            </w:r>
          </w:p>
        </w:tc>
        <w:tc>
          <w:tcPr>
            <w:tcW w:w="1136" w:type="dxa"/>
            <w:vAlign w:val="center"/>
          </w:tcPr>
          <w:p w14:paraId="2978DF07" w14:textId="72C7EEA1" w:rsidR="001F558F" w:rsidRPr="00342948" w:rsidRDefault="001F558F" w:rsidP="001D5636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2975" w:type="dxa"/>
            <w:vAlign w:val="center"/>
          </w:tcPr>
          <w:p w14:paraId="1D10CCFD" w14:textId="3B26574F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I</w:t>
            </w:r>
            <w:r w:rsidRPr="00342948">
              <w:rPr>
                <w:rFonts w:ascii="宋体" w:hAnsi="宋体"/>
                <w:sz w:val="21"/>
                <w:szCs w:val="21"/>
              </w:rPr>
              <w:t>SBN</w:t>
            </w:r>
            <w:r w:rsidR="008A063D" w:rsidRPr="00342948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42948">
              <w:rPr>
                <w:rFonts w:ascii="宋体" w:hAnsi="宋体"/>
                <w:sz w:val="21"/>
                <w:szCs w:val="21"/>
              </w:rPr>
              <w:t>978-7-03-054415-5</w:t>
            </w:r>
          </w:p>
        </w:tc>
        <w:tc>
          <w:tcPr>
            <w:tcW w:w="993" w:type="dxa"/>
            <w:vAlign w:val="center"/>
          </w:tcPr>
          <w:p w14:paraId="2894B74A" w14:textId="7A8F114D" w:rsidR="001F558F" w:rsidRPr="00342948" w:rsidRDefault="001F558F" w:rsidP="003429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42948">
              <w:rPr>
                <w:rFonts w:ascii="宋体" w:eastAsia="宋体" w:hAnsi="宋体" w:cs="Times New Roman" w:hint="eastAsia"/>
                <w:szCs w:val="21"/>
              </w:rPr>
              <w:t>2017.09</w:t>
            </w:r>
          </w:p>
        </w:tc>
        <w:tc>
          <w:tcPr>
            <w:tcW w:w="851" w:type="dxa"/>
            <w:vAlign w:val="center"/>
          </w:tcPr>
          <w:p w14:paraId="6C486041" w14:textId="29485F24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  <w:tc>
          <w:tcPr>
            <w:tcW w:w="992" w:type="dxa"/>
            <w:vAlign w:val="center"/>
          </w:tcPr>
          <w:p w14:paraId="2FA19DAB" w14:textId="5876AD03" w:rsidR="001F558F" w:rsidRPr="00342948" w:rsidRDefault="001F558F" w:rsidP="00342948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李永飞</w:t>
            </w:r>
          </w:p>
        </w:tc>
      </w:tr>
    </w:tbl>
    <w:p w14:paraId="5AF53F61" w14:textId="2BC24C31" w:rsidR="00264021" w:rsidRDefault="008A063D" w:rsidP="001D5636">
      <w:pPr>
        <w:widowControl/>
        <w:jc w:val="center"/>
        <w:rPr>
          <w:rFonts w:ascii="宋体" w:hAnsi="宋体" w:cs="Courier"/>
          <w:b/>
          <w:kern w:val="0"/>
          <w:sz w:val="28"/>
          <w:szCs w:val="28"/>
        </w:rPr>
      </w:pPr>
      <w:r>
        <w:rPr>
          <w:rFonts w:ascii="宋体" w:hAnsi="宋体" w:cs="Courier"/>
          <w:b/>
          <w:kern w:val="0"/>
          <w:sz w:val="28"/>
          <w:szCs w:val="28"/>
        </w:rPr>
        <w:br w:type="page"/>
      </w:r>
      <w:r w:rsidR="00264021" w:rsidRPr="00E579E1">
        <w:rPr>
          <w:rFonts w:ascii="宋体" w:hAnsi="宋体" w:cs="Courier"/>
          <w:b/>
          <w:kern w:val="0"/>
          <w:sz w:val="28"/>
          <w:szCs w:val="28"/>
        </w:rPr>
        <w:lastRenderedPageBreak/>
        <w:t>主要知识产权</w:t>
      </w:r>
      <w:r w:rsidR="00264021" w:rsidRPr="00E579E1">
        <w:rPr>
          <w:rFonts w:ascii="宋体" w:hAnsi="宋体" w:cs="Courier" w:hint="eastAsia"/>
          <w:b/>
          <w:kern w:val="0"/>
          <w:sz w:val="28"/>
          <w:szCs w:val="28"/>
        </w:rPr>
        <w:t>证明</w:t>
      </w:r>
      <w:r w:rsidR="00264021" w:rsidRPr="00E579E1">
        <w:rPr>
          <w:rFonts w:ascii="宋体" w:hAnsi="宋体" w:cs="Courier"/>
          <w:b/>
          <w:kern w:val="0"/>
          <w:sz w:val="28"/>
          <w:szCs w:val="28"/>
        </w:rPr>
        <w:t>目录</w:t>
      </w:r>
      <w:r w:rsidR="00264021" w:rsidRPr="00E579E1">
        <w:rPr>
          <w:rFonts w:ascii="宋体" w:hAnsi="宋体" w:cs="Courier" w:hint="eastAsia"/>
          <w:b/>
          <w:kern w:val="0"/>
          <w:sz w:val="28"/>
          <w:szCs w:val="28"/>
        </w:rPr>
        <w:t>（</w:t>
      </w:r>
      <w:r w:rsidR="00264021" w:rsidRPr="00E579E1">
        <w:rPr>
          <w:rFonts w:ascii="宋体" w:hAnsi="宋体" w:cs="Courier"/>
          <w:b/>
          <w:kern w:val="0"/>
          <w:sz w:val="28"/>
          <w:szCs w:val="28"/>
        </w:rPr>
        <w:t>限</w:t>
      </w:r>
      <w:r w:rsidR="00264021" w:rsidRPr="00E579E1">
        <w:rPr>
          <w:rFonts w:ascii="宋体" w:hAnsi="宋体" w:cs="Courier" w:hint="eastAsia"/>
          <w:b/>
          <w:kern w:val="0"/>
          <w:sz w:val="28"/>
          <w:szCs w:val="28"/>
        </w:rPr>
        <w:t>10条）</w:t>
      </w:r>
    </w:p>
    <w:p w14:paraId="57F1B42A" w14:textId="77777777" w:rsidR="001D5636" w:rsidRPr="001D5636" w:rsidRDefault="001D5636" w:rsidP="001D5636">
      <w:pPr>
        <w:widowControl/>
        <w:jc w:val="center"/>
        <w:rPr>
          <w:rFonts w:ascii="宋体" w:hAnsi="宋体" w:cs="Courier" w:hint="eastAsia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693"/>
        <w:gridCol w:w="992"/>
        <w:gridCol w:w="1985"/>
        <w:gridCol w:w="1275"/>
        <w:gridCol w:w="1134"/>
        <w:gridCol w:w="1701"/>
        <w:gridCol w:w="2410"/>
        <w:gridCol w:w="866"/>
      </w:tblGrid>
      <w:tr w:rsidR="00745CA2" w:rsidRPr="00E579E1" w14:paraId="613CF0D8" w14:textId="77777777" w:rsidTr="001D5636">
        <w:trPr>
          <w:trHeight w:val="1000"/>
          <w:jc w:val="center"/>
        </w:trPr>
        <w:tc>
          <w:tcPr>
            <w:tcW w:w="1085" w:type="dxa"/>
            <w:vAlign w:val="center"/>
          </w:tcPr>
          <w:p w14:paraId="0D8D500C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知识产权类别</w:t>
            </w:r>
          </w:p>
        </w:tc>
        <w:tc>
          <w:tcPr>
            <w:tcW w:w="2693" w:type="dxa"/>
            <w:vAlign w:val="center"/>
          </w:tcPr>
          <w:p w14:paraId="0144A4BF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知识产权具体</w:t>
            </w:r>
            <w:r w:rsidRPr="00E579E1"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14:paraId="4170D255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国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14:paraId="2041E165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（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地</w:t>
            </w:r>
            <w:r w:rsidRPr="00E579E1">
              <w:rPr>
                <w:rFonts w:ascii="宋体" w:hAnsi="宋体"/>
                <w:sz w:val="21"/>
                <w:szCs w:val="21"/>
              </w:rPr>
              <w:t>区）</w:t>
            </w:r>
          </w:p>
        </w:tc>
        <w:tc>
          <w:tcPr>
            <w:tcW w:w="1985" w:type="dxa"/>
            <w:vAlign w:val="center"/>
          </w:tcPr>
          <w:p w14:paraId="1A70AED1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1275" w:type="dxa"/>
            <w:vAlign w:val="center"/>
          </w:tcPr>
          <w:p w14:paraId="6FEF5A92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1134" w:type="dxa"/>
            <w:vAlign w:val="center"/>
          </w:tcPr>
          <w:p w14:paraId="4C727A4A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701" w:type="dxa"/>
            <w:vAlign w:val="center"/>
          </w:tcPr>
          <w:p w14:paraId="5ECA4E69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2410" w:type="dxa"/>
            <w:vAlign w:val="center"/>
          </w:tcPr>
          <w:p w14:paraId="122EF0B5" w14:textId="77777777" w:rsidR="00264021" w:rsidRPr="00E579E1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发明人</w:t>
            </w:r>
          </w:p>
        </w:tc>
        <w:tc>
          <w:tcPr>
            <w:tcW w:w="866" w:type="dxa"/>
            <w:vAlign w:val="center"/>
          </w:tcPr>
          <w:p w14:paraId="2DD50C13" w14:textId="77777777" w:rsidR="00264021" w:rsidRPr="00A97A25" w:rsidRDefault="00264021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97A25">
              <w:rPr>
                <w:rFonts w:ascii="宋体" w:hAnsi="宋体" w:hint="eastAsia"/>
                <w:color w:val="000000"/>
                <w:sz w:val="21"/>
                <w:szCs w:val="21"/>
              </w:rPr>
              <w:t>专利有效状态</w:t>
            </w:r>
          </w:p>
        </w:tc>
      </w:tr>
      <w:tr w:rsidR="00342948" w:rsidRPr="00E579E1" w14:paraId="3C2C14DC" w14:textId="77777777" w:rsidTr="001D5636">
        <w:trPr>
          <w:trHeight w:hRule="exact" w:val="1304"/>
          <w:jc w:val="center"/>
        </w:trPr>
        <w:tc>
          <w:tcPr>
            <w:tcW w:w="1085" w:type="dxa"/>
            <w:vAlign w:val="center"/>
          </w:tcPr>
          <w:p w14:paraId="47AFEC19" w14:textId="4963B5C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2693" w:type="dxa"/>
            <w:vAlign w:val="center"/>
          </w:tcPr>
          <w:p w14:paraId="43016242" w14:textId="11420624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一种具有加密解密功能的多应用智能卡</w:t>
            </w:r>
          </w:p>
        </w:tc>
        <w:tc>
          <w:tcPr>
            <w:tcW w:w="992" w:type="dxa"/>
            <w:vAlign w:val="center"/>
          </w:tcPr>
          <w:p w14:paraId="27235C63" w14:textId="2CF23AF1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129C16B6" w14:textId="63CBFB4D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ZL201410787328.2</w:t>
            </w:r>
          </w:p>
        </w:tc>
        <w:tc>
          <w:tcPr>
            <w:tcW w:w="1275" w:type="dxa"/>
            <w:vAlign w:val="center"/>
          </w:tcPr>
          <w:p w14:paraId="0920084E" w14:textId="2374AB51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2014.12</w:t>
            </w:r>
            <w:r w:rsidRPr="00342948">
              <w:rPr>
                <w:rFonts w:ascii="宋体" w:hAnsi="宋体"/>
                <w:sz w:val="21"/>
                <w:szCs w:val="21"/>
              </w:rPr>
              <w:t>.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2CEB570D" w14:textId="4DDCFCF2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2881498</w:t>
            </w:r>
          </w:p>
        </w:tc>
        <w:tc>
          <w:tcPr>
            <w:tcW w:w="1701" w:type="dxa"/>
            <w:vAlign w:val="center"/>
          </w:tcPr>
          <w:p w14:paraId="5B7768D6" w14:textId="31E0A46F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2410" w:type="dxa"/>
            <w:vAlign w:val="center"/>
          </w:tcPr>
          <w:p w14:paraId="12110BF8" w14:textId="77777777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杨小宝；吴小峰；</w:t>
            </w:r>
          </w:p>
          <w:p w14:paraId="0EFDAECA" w14:textId="3304F42C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李晓论；陈彦萍</w:t>
            </w:r>
          </w:p>
        </w:tc>
        <w:tc>
          <w:tcPr>
            <w:tcW w:w="866" w:type="dxa"/>
            <w:vAlign w:val="center"/>
          </w:tcPr>
          <w:p w14:paraId="35273514" w14:textId="601815F9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000000" w:themeColor="text1"/>
                <w:kern w:val="0"/>
                <w:sz w:val="21"/>
                <w:szCs w:val="21"/>
              </w:rPr>
            </w:pPr>
            <w:r w:rsidRPr="00342948">
              <w:rPr>
                <w:rFonts w:ascii="宋体" w:hAnsi="宋体" w:cs="Arial" w:hint="eastAsia"/>
                <w:color w:val="000000" w:themeColor="text1"/>
                <w:kern w:val="0"/>
                <w:sz w:val="21"/>
                <w:szCs w:val="21"/>
              </w:rPr>
              <w:t>有效</w:t>
            </w:r>
          </w:p>
        </w:tc>
      </w:tr>
      <w:tr w:rsidR="00342948" w:rsidRPr="00E579E1" w14:paraId="59B0E2EE" w14:textId="77777777" w:rsidTr="001D5636">
        <w:trPr>
          <w:trHeight w:hRule="exact" w:val="1304"/>
          <w:jc w:val="center"/>
        </w:trPr>
        <w:tc>
          <w:tcPr>
            <w:tcW w:w="1085" w:type="dxa"/>
            <w:vAlign w:val="center"/>
          </w:tcPr>
          <w:p w14:paraId="50157D2D" w14:textId="3BB74366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2693" w:type="dxa"/>
            <w:vAlign w:val="center"/>
          </w:tcPr>
          <w:p w14:paraId="75BBD55B" w14:textId="77777777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一种基于ISA100.11a标准的工业传感网数据重复</w:t>
            </w:r>
          </w:p>
          <w:p w14:paraId="636FF7E5" w14:textId="560AC1D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检测方法</w:t>
            </w:r>
          </w:p>
        </w:tc>
        <w:tc>
          <w:tcPr>
            <w:tcW w:w="992" w:type="dxa"/>
            <w:vAlign w:val="center"/>
          </w:tcPr>
          <w:p w14:paraId="5985F025" w14:textId="5FA66173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025AA120" w14:textId="2097C0F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ZL201510778626.X</w:t>
            </w:r>
          </w:p>
        </w:tc>
        <w:tc>
          <w:tcPr>
            <w:tcW w:w="1275" w:type="dxa"/>
            <w:vAlign w:val="center"/>
          </w:tcPr>
          <w:p w14:paraId="69E3E864" w14:textId="5EAD1BB9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2015.</w:t>
            </w:r>
            <w:r w:rsidRPr="00342948">
              <w:rPr>
                <w:rFonts w:ascii="宋体" w:hAnsi="宋体"/>
                <w:sz w:val="21"/>
                <w:szCs w:val="21"/>
              </w:rPr>
              <w:t>2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.11</w:t>
            </w:r>
          </w:p>
        </w:tc>
        <w:tc>
          <w:tcPr>
            <w:tcW w:w="1134" w:type="dxa"/>
            <w:vAlign w:val="center"/>
          </w:tcPr>
          <w:p w14:paraId="67574521" w14:textId="20339F2E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2999168</w:t>
            </w:r>
          </w:p>
        </w:tc>
        <w:tc>
          <w:tcPr>
            <w:tcW w:w="1701" w:type="dxa"/>
            <w:vAlign w:val="center"/>
          </w:tcPr>
          <w:p w14:paraId="1A03FD0D" w14:textId="6BAD8129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西安航天自动化股份有限公司</w:t>
            </w:r>
          </w:p>
        </w:tc>
        <w:tc>
          <w:tcPr>
            <w:tcW w:w="2410" w:type="dxa"/>
            <w:vAlign w:val="center"/>
          </w:tcPr>
          <w:p w14:paraId="110BFEAE" w14:textId="77777777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张建奇；张建锋；</w:t>
            </w:r>
          </w:p>
          <w:p w14:paraId="2C5CBA6E" w14:textId="6807DF3C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成斐鸣；支亚军；李孟；</w:t>
            </w:r>
          </w:p>
          <w:p w14:paraId="260F8B14" w14:textId="156059A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王鼎衡</w:t>
            </w:r>
          </w:p>
        </w:tc>
        <w:tc>
          <w:tcPr>
            <w:tcW w:w="866" w:type="dxa"/>
            <w:vAlign w:val="center"/>
          </w:tcPr>
          <w:p w14:paraId="3D575050" w14:textId="65AC0592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 w:rsidRPr="00342948">
              <w:rPr>
                <w:rFonts w:ascii="宋体" w:hAnsi="宋体" w:cs="Arial" w:hint="eastAsia"/>
                <w:color w:val="000000" w:themeColor="text1"/>
                <w:kern w:val="0"/>
                <w:sz w:val="21"/>
                <w:szCs w:val="21"/>
              </w:rPr>
              <w:t>有效</w:t>
            </w:r>
          </w:p>
        </w:tc>
      </w:tr>
      <w:tr w:rsidR="00342948" w:rsidRPr="00E579E1" w14:paraId="2DE5D742" w14:textId="77777777" w:rsidTr="001D5636">
        <w:trPr>
          <w:trHeight w:hRule="exact" w:val="1304"/>
          <w:jc w:val="center"/>
        </w:trPr>
        <w:tc>
          <w:tcPr>
            <w:tcW w:w="1085" w:type="dxa"/>
            <w:vAlign w:val="center"/>
          </w:tcPr>
          <w:p w14:paraId="71FEA471" w14:textId="472D5E4A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计算机软件著作权</w:t>
            </w:r>
          </w:p>
        </w:tc>
        <w:tc>
          <w:tcPr>
            <w:tcW w:w="2693" w:type="dxa"/>
            <w:vAlign w:val="center"/>
          </w:tcPr>
          <w:p w14:paraId="50F7770A" w14:textId="0A2FF92F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物流仓储管理系统</w:t>
            </w:r>
          </w:p>
        </w:tc>
        <w:tc>
          <w:tcPr>
            <w:tcW w:w="992" w:type="dxa"/>
            <w:vAlign w:val="center"/>
          </w:tcPr>
          <w:p w14:paraId="409E9B5E" w14:textId="0525C054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1FBB2BBC" w14:textId="03C7AFFA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2018R11L650345</w:t>
            </w:r>
          </w:p>
        </w:tc>
        <w:tc>
          <w:tcPr>
            <w:tcW w:w="1275" w:type="dxa"/>
            <w:vAlign w:val="center"/>
          </w:tcPr>
          <w:p w14:paraId="6A8982D1" w14:textId="439B3F3F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</w:t>
            </w:r>
            <w:r w:rsidRPr="00342948">
              <w:rPr>
                <w:rFonts w:ascii="宋体" w:hAnsi="宋体"/>
                <w:sz w:val="21"/>
                <w:szCs w:val="21"/>
              </w:rPr>
              <w:t>018</w:t>
            </w:r>
            <w:r w:rsidRPr="00342948">
              <w:rPr>
                <w:rFonts w:ascii="宋体" w:hAnsi="宋体" w:hint="eastAsia"/>
                <w:sz w:val="21"/>
                <w:szCs w:val="21"/>
              </w:rPr>
              <w:t>.6.22</w:t>
            </w:r>
          </w:p>
        </w:tc>
        <w:tc>
          <w:tcPr>
            <w:tcW w:w="1134" w:type="dxa"/>
            <w:vAlign w:val="center"/>
          </w:tcPr>
          <w:p w14:paraId="386C7C9E" w14:textId="4A407144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3412158</w:t>
            </w:r>
          </w:p>
        </w:tc>
        <w:tc>
          <w:tcPr>
            <w:tcW w:w="1701" w:type="dxa"/>
            <w:vAlign w:val="center"/>
          </w:tcPr>
          <w:p w14:paraId="34F59A6E" w14:textId="7D990102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2410" w:type="dxa"/>
            <w:vAlign w:val="center"/>
          </w:tcPr>
          <w:p w14:paraId="4D32506B" w14:textId="17B7D8EE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李鹏飞；王宏；毋建宏</w:t>
            </w:r>
          </w:p>
        </w:tc>
        <w:tc>
          <w:tcPr>
            <w:tcW w:w="866" w:type="dxa"/>
            <w:vAlign w:val="center"/>
          </w:tcPr>
          <w:p w14:paraId="1E43E646" w14:textId="135E9014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cs="Arial" w:hint="eastAsia"/>
                <w:color w:val="000000" w:themeColor="text1"/>
                <w:kern w:val="0"/>
                <w:sz w:val="21"/>
                <w:szCs w:val="21"/>
              </w:rPr>
              <w:t>有效</w:t>
            </w:r>
          </w:p>
        </w:tc>
      </w:tr>
      <w:tr w:rsidR="00342948" w:rsidRPr="00E579E1" w14:paraId="351C6F04" w14:textId="77777777" w:rsidTr="001D5636">
        <w:trPr>
          <w:trHeight w:hRule="exact" w:val="1304"/>
          <w:jc w:val="center"/>
        </w:trPr>
        <w:tc>
          <w:tcPr>
            <w:tcW w:w="1085" w:type="dxa"/>
            <w:vAlign w:val="center"/>
          </w:tcPr>
          <w:p w14:paraId="657FD1EC" w14:textId="7B11CBD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计算机软件著作权</w:t>
            </w:r>
          </w:p>
        </w:tc>
        <w:tc>
          <w:tcPr>
            <w:tcW w:w="2693" w:type="dxa"/>
            <w:vAlign w:val="center"/>
          </w:tcPr>
          <w:p w14:paraId="73A5277E" w14:textId="42CDC989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仓储员工指纹考勤系统</w:t>
            </w:r>
          </w:p>
        </w:tc>
        <w:tc>
          <w:tcPr>
            <w:tcW w:w="992" w:type="dxa"/>
            <w:vAlign w:val="center"/>
          </w:tcPr>
          <w:p w14:paraId="21E90808" w14:textId="30500888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03E5ED1B" w14:textId="551E7C11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2019SR0326148</w:t>
            </w:r>
          </w:p>
        </w:tc>
        <w:tc>
          <w:tcPr>
            <w:tcW w:w="1275" w:type="dxa"/>
            <w:vAlign w:val="center"/>
          </w:tcPr>
          <w:p w14:paraId="26C5E240" w14:textId="10502A14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2019.4.12</w:t>
            </w:r>
          </w:p>
        </w:tc>
        <w:tc>
          <w:tcPr>
            <w:tcW w:w="1134" w:type="dxa"/>
            <w:vAlign w:val="center"/>
          </w:tcPr>
          <w:p w14:paraId="108588FF" w14:textId="2318C64A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/>
                <w:sz w:val="21"/>
                <w:szCs w:val="21"/>
              </w:rPr>
              <w:t>3746905</w:t>
            </w:r>
          </w:p>
        </w:tc>
        <w:tc>
          <w:tcPr>
            <w:tcW w:w="1701" w:type="dxa"/>
            <w:vAlign w:val="center"/>
          </w:tcPr>
          <w:p w14:paraId="6DE546A5" w14:textId="17CF957C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2410" w:type="dxa"/>
            <w:vAlign w:val="center"/>
          </w:tcPr>
          <w:p w14:paraId="6752A16E" w14:textId="77777777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李鹏飞；毋建宏；</w:t>
            </w:r>
          </w:p>
          <w:p w14:paraId="0FD427FF" w14:textId="62DA2F3A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hint="eastAsia"/>
                <w:sz w:val="21"/>
                <w:szCs w:val="21"/>
              </w:rPr>
              <w:t>王灿辉；王宏</w:t>
            </w:r>
          </w:p>
        </w:tc>
        <w:tc>
          <w:tcPr>
            <w:tcW w:w="866" w:type="dxa"/>
            <w:vAlign w:val="center"/>
          </w:tcPr>
          <w:p w14:paraId="590F2572" w14:textId="2DCA012B" w:rsidR="00342948" w:rsidRPr="00342948" w:rsidRDefault="00342948" w:rsidP="001D5636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42948">
              <w:rPr>
                <w:rFonts w:ascii="宋体" w:hAnsi="宋体" w:cs="Arial" w:hint="eastAsia"/>
                <w:color w:val="000000" w:themeColor="text1"/>
                <w:kern w:val="0"/>
                <w:sz w:val="21"/>
                <w:szCs w:val="21"/>
              </w:rPr>
              <w:t>有效</w:t>
            </w:r>
          </w:p>
        </w:tc>
      </w:tr>
    </w:tbl>
    <w:p w14:paraId="05F4F359" w14:textId="77777777" w:rsidR="00A4766D" w:rsidRPr="00264021" w:rsidRDefault="00A4766D" w:rsidP="001938A0"/>
    <w:sectPr w:rsidR="00A4766D" w:rsidRPr="00264021" w:rsidSect="001D5636">
      <w:pgSz w:w="16838" w:h="11906" w:orient="landscape"/>
      <w:pgMar w:top="1276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4EC9" w14:textId="77777777" w:rsidR="00F25FB4" w:rsidRDefault="00F25FB4" w:rsidP="001938A0">
      <w:r>
        <w:separator/>
      </w:r>
    </w:p>
  </w:endnote>
  <w:endnote w:type="continuationSeparator" w:id="0">
    <w:p w14:paraId="6D24AB7D" w14:textId="77777777" w:rsidR="00F25FB4" w:rsidRDefault="00F25FB4" w:rsidP="001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1124" w14:textId="77777777" w:rsidR="00F25FB4" w:rsidRDefault="00F25FB4" w:rsidP="001938A0">
      <w:r>
        <w:separator/>
      </w:r>
    </w:p>
  </w:footnote>
  <w:footnote w:type="continuationSeparator" w:id="0">
    <w:p w14:paraId="4194284D" w14:textId="77777777" w:rsidR="00F25FB4" w:rsidRDefault="00F25FB4" w:rsidP="0019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8A0"/>
    <w:rsid w:val="00057C95"/>
    <w:rsid w:val="00082643"/>
    <w:rsid w:val="0009523F"/>
    <w:rsid w:val="000A25AF"/>
    <w:rsid w:val="001471EA"/>
    <w:rsid w:val="0018381E"/>
    <w:rsid w:val="001938A0"/>
    <w:rsid w:val="001A58BD"/>
    <w:rsid w:val="001D254C"/>
    <w:rsid w:val="001D5636"/>
    <w:rsid w:val="001F558F"/>
    <w:rsid w:val="00205F09"/>
    <w:rsid w:val="002136E1"/>
    <w:rsid w:val="00221800"/>
    <w:rsid w:val="00264021"/>
    <w:rsid w:val="002C2060"/>
    <w:rsid w:val="002C75CA"/>
    <w:rsid w:val="002D503E"/>
    <w:rsid w:val="002E67A1"/>
    <w:rsid w:val="00301B88"/>
    <w:rsid w:val="0030696C"/>
    <w:rsid w:val="00340656"/>
    <w:rsid w:val="00342948"/>
    <w:rsid w:val="00343E17"/>
    <w:rsid w:val="003F2E2E"/>
    <w:rsid w:val="00443228"/>
    <w:rsid w:val="004B155E"/>
    <w:rsid w:val="004C2A32"/>
    <w:rsid w:val="00546CEB"/>
    <w:rsid w:val="005743A1"/>
    <w:rsid w:val="00580776"/>
    <w:rsid w:val="005B41C6"/>
    <w:rsid w:val="005D7499"/>
    <w:rsid w:val="005E3E1D"/>
    <w:rsid w:val="005F54AF"/>
    <w:rsid w:val="0060540D"/>
    <w:rsid w:val="00623FA0"/>
    <w:rsid w:val="006652EC"/>
    <w:rsid w:val="0066702C"/>
    <w:rsid w:val="0067037C"/>
    <w:rsid w:val="0067692D"/>
    <w:rsid w:val="006B52A2"/>
    <w:rsid w:val="006D58EF"/>
    <w:rsid w:val="006E4E38"/>
    <w:rsid w:val="0072000C"/>
    <w:rsid w:val="00740B62"/>
    <w:rsid w:val="0074156B"/>
    <w:rsid w:val="00745CA2"/>
    <w:rsid w:val="007C06B7"/>
    <w:rsid w:val="007C2DBA"/>
    <w:rsid w:val="008277AA"/>
    <w:rsid w:val="008A063D"/>
    <w:rsid w:val="008A4947"/>
    <w:rsid w:val="008B061A"/>
    <w:rsid w:val="008E4101"/>
    <w:rsid w:val="008E4282"/>
    <w:rsid w:val="0094635B"/>
    <w:rsid w:val="009569E9"/>
    <w:rsid w:val="009748CD"/>
    <w:rsid w:val="009C2E52"/>
    <w:rsid w:val="009E0CF7"/>
    <w:rsid w:val="00A4766D"/>
    <w:rsid w:val="00A56053"/>
    <w:rsid w:val="00A62321"/>
    <w:rsid w:val="00A645BC"/>
    <w:rsid w:val="00AA6181"/>
    <w:rsid w:val="00AC01BF"/>
    <w:rsid w:val="00AE0E14"/>
    <w:rsid w:val="00AE3D4A"/>
    <w:rsid w:val="00AE6F32"/>
    <w:rsid w:val="00B0063F"/>
    <w:rsid w:val="00B361E3"/>
    <w:rsid w:val="00B3635A"/>
    <w:rsid w:val="00B4172E"/>
    <w:rsid w:val="00B45EAD"/>
    <w:rsid w:val="00B514F3"/>
    <w:rsid w:val="00B826C6"/>
    <w:rsid w:val="00BF147F"/>
    <w:rsid w:val="00C11CAE"/>
    <w:rsid w:val="00C40AB0"/>
    <w:rsid w:val="00C82904"/>
    <w:rsid w:val="00C92E24"/>
    <w:rsid w:val="00CC4838"/>
    <w:rsid w:val="00D06A5D"/>
    <w:rsid w:val="00D1370D"/>
    <w:rsid w:val="00DB5D0D"/>
    <w:rsid w:val="00DE45CD"/>
    <w:rsid w:val="00DF2450"/>
    <w:rsid w:val="00DF5562"/>
    <w:rsid w:val="00E704F2"/>
    <w:rsid w:val="00E8469F"/>
    <w:rsid w:val="00EC1986"/>
    <w:rsid w:val="00ED6D18"/>
    <w:rsid w:val="00EF3CA3"/>
    <w:rsid w:val="00F16FE9"/>
    <w:rsid w:val="00F2449B"/>
    <w:rsid w:val="00F25FB4"/>
    <w:rsid w:val="00F318FA"/>
    <w:rsid w:val="00F55726"/>
    <w:rsid w:val="00F658F7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6A17"/>
  <w15:docId w15:val="{E9120351-18E0-4DF8-AA72-110776E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8A0"/>
    <w:rPr>
      <w:sz w:val="18"/>
      <w:szCs w:val="18"/>
    </w:rPr>
  </w:style>
  <w:style w:type="character" w:styleId="a7">
    <w:name w:val="Hyperlink"/>
    <w:basedOn w:val="a0"/>
    <w:uiPriority w:val="99"/>
    <w:unhideWhenUsed/>
    <w:rsid w:val="00264021"/>
    <w:rPr>
      <w:color w:val="0000FF" w:themeColor="hyperlink"/>
      <w:u w:val="single"/>
    </w:rPr>
  </w:style>
  <w:style w:type="paragraph" w:styleId="a8">
    <w:name w:val="Plain Text"/>
    <w:basedOn w:val="a"/>
    <w:link w:val="a9"/>
    <w:rsid w:val="0026402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9">
    <w:name w:val="纯文本 字符"/>
    <w:basedOn w:val="a0"/>
    <w:link w:val="a8"/>
    <w:rsid w:val="00264021"/>
    <w:rPr>
      <w:rFonts w:ascii="仿宋_GB2312" w:eastAsia="宋体" w:hAnsi="Times New Roman" w:cs="Times New Roman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BF147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670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670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670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70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6702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02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670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269</Words>
  <Characters>1536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王彩红</dc:creator>
  <cp:keywords/>
  <dc:description/>
  <cp:lastModifiedBy> </cp:lastModifiedBy>
  <cp:revision>47</cp:revision>
  <cp:lastPrinted>2020-11-25T00:13:00Z</cp:lastPrinted>
  <dcterms:created xsi:type="dcterms:W3CDTF">2014-03-04T01:52:00Z</dcterms:created>
  <dcterms:modified xsi:type="dcterms:W3CDTF">2020-11-25T13:34:00Z</dcterms:modified>
</cp:coreProperties>
</file>